
<file path=[Content_Types].xml><?xml version="1.0" encoding="utf-8"?>
<Types xmlns="http://schemas.openxmlformats.org/package/2006/content-types">
  <Override PartName="/word/charts/chart10.xml" ContentType="application/vnd.openxmlformats-officedocument.drawingml.chart+xml"/>
  <Override PartName="/word/theme/themeOverride5.xml" ContentType="application/vnd.openxmlformats-officedocument.themeOverride+xml"/>
  <Override PartName="/word/diagrams/quickStyle2.xml" ContentType="application/vnd.openxmlformats-officedocument.drawingml.diagramStyle+xml"/>
  <Override PartName="/customXml/itemProps1.xml" ContentType="application/vnd.openxmlformats-officedocument.customXmlProperties+xml"/>
  <Override PartName="/word/diagrams/colors1.xml" ContentType="application/vnd.openxmlformats-officedocument.drawingml.diagramColors+xml"/>
  <Override PartName="/word/theme/themeOverride1.xml" ContentType="application/vnd.openxmlformats-officedocument.themeOverride+xml"/>
  <Override PartName="/word/theme/themeOverride11.xml" ContentType="application/vnd.openxmlformats-officedocument.themeOverride+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drawings/drawing2.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5.xml" ContentType="application/vnd.openxmlformats-officedocument.drawingml.chart+xml"/>
  <Override PartName="/word/charts/chart6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charts/chart62.xml" ContentType="application/vnd.openxmlformats-officedocument.drawingml.chart+xml"/>
  <Override PartName="/word/charts/chart71.xml" ContentType="application/vnd.openxmlformats-officedocument.drawingml.chart+xml"/>
  <Override PartName="/word/footer1.xml" ContentType="application/vnd.openxmlformats-officedocument.wordprocessingml.footer+xml"/>
  <Default Extension="xlsx" ContentType="application/vnd.openxmlformats-officedocument.spreadsheetml.sheet"/>
  <Override PartName="/word/charts/chart3.xml" ContentType="application/vnd.openxmlformats-officedocument.drawingml.chart+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theme/themeOverride8.xml" ContentType="application/vnd.openxmlformats-officedocument.themeOverride+xml"/>
  <Override PartName="/word/charts/chart42.xml" ContentType="application/vnd.openxmlformats-officedocument.drawingml.chart+xml"/>
  <Override PartName="/word/charts/chart51.xml" ContentType="application/vnd.openxmlformats-officedocument.drawingml.chart+xml"/>
  <Override PartName="/word/charts/chart60.xml" ContentType="application/vnd.openxmlformats-officedocument.drawingml.chart+xml"/>
  <Override PartName="/word/header2.xml" ContentType="application/vnd.openxmlformats-officedocument.wordprocessingml.header+xml"/>
  <Override PartName="/word/diagrams/layout1.xml" ContentType="application/vnd.openxmlformats-officedocument.drawingml.diagramLayout+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theme/themeOverride6.xml" ContentType="application/vnd.openxmlformats-officedocument.themeOverride+xml"/>
  <Override PartName="/word/charts/chart40.xml" ContentType="application/vnd.openxmlformats-officedocument.drawingml.chart+xml"/>
  <Override PartName="/word/diagrams/quickStyle1.xml" ContentType="application/vnd.openxmlformats-officedocument.drawingml.diagramStyle+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theme/themeOverride12.xml" ContentType="application/vnd.openxmlformats-officedocument.themeOverride+xml"/>
  <Override PartName="/word/charts/chart49.xml" ContentType="application/vnd.openxmlformats-officedocument.drawingml.chart+xml"/>
  <Default Extension="emf" ContentType="image/x-emf"/>
  <Override PartName="/word/charts/chart6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drawings/drawing3.xml" ContentType="application/vnd.openxmlformats-officedocument.drawingml.chartshapes+xml"/>
  <Override PartName="/word/charts/chart29.xml" ContentType="application/vnd.openxmlformats-officedocument.drawingml.chart+xml"/>
  <Override PartName="/word/charts/chart38.xml" ContentType="application/vnd.openxmlformats-officedocument.drawingml.chart+xml"/>
  <Override PartName="/word/theme/themeOverride10.xml" ContentType="application/vnd.openxmlformats-officedocument.themeOverride+xml"/>
  <Override PartName="/word/charts/chart47.xml" ContentType="application/vnd.openxmlformats-officedocument.drawingml.chart+xml"/>
  <Override PartName="/word/charts/chart58.xml" ContentType="application/vnd.openxmlformats-officedocument.drawingml.chart+xml"/>
  <Override PartName="/word/charts/chart6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drawings/drawing1.xml" ContentType="application/vnd.openxmlformats-officedocument.drawingml.chartshapes+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Override PartName="/word/charts/chart65.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charts/chart72.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theme/themeOverride9.xml" ContentType="application/vnd.openxmlformats-officedocument.themeOverride+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charts/chart7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theme/themeOverride7.xml" ContentType="application/vnd.openxmlformats-officedocument.themeOverride+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diagrams/data1.xml" ContentType="application/vnd.openxmlformats-officedocument.drawingml.diagramData+xml"/>
  <Override PartName="/word/theme/themeOverride3.xml" ContentType="application/vnd.openxmlformats-officedocument.themeOverride+xml"/>
  <Override PartName="/word/charts/chart68.xml" ContentType="application/vnd.openxmlformats-officedocument.drawingml.chart+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0A2D" w:rsidRDefault="00010A2D" w:rsidP="00AA7189">
      <w:pPr>
        <w:pStyle w:val="Pagrindiniotekstotrauka"/>
        <w:tabs>
          <w:tab w:val="left" w:pos="1247"/>
          <w:tab w:val="left" w:pos="1843"/>
        </w:tabs>
        <w:ind w:firstLine="0"/>
      </w:pPr>
      <w:r>
        <w:t xml:space="preserve">             </w:t>
      </w:r>
      <w:r w:rsidR="00AA7189">
        <w:t xml:space="preserve">      </w:t>
      </w:r>
      <w:r>
        <w:t xml:space="preserve">                                                                                             </w:t>
      </w:r>
    </w:p>
    <w:p w:rsidR="00010A2D" w:rsidRPr="00F9188F" w:rsidRDefault="00010A2D" w:rsidP="00AA7189">
      <w:pPr>
        <w:pStyle w:val="Bodytext"/>
        <w:spacing w:line="240" w:lineRule="auto"/>
        <w:ind w:firstLine="0"/>
        <w:jc w:val="center"/>
        <w:rPr>
          <w:b/>
          <w:sz w:val="24"/>
          <w:szCs w:val="24"/>
        </w:rPr>
      </w:pPr>
      <w:r>
        <w:rPr>
          <w:b/>
          <w:sz w:val="24"/>
          <w:szCs w:val="24"/>
        </w:rPr>
        <w:t>RIETAV</w:t>
      </w:r>
      <w:r w:rsidRPr="00F9188F">
        <w:rPr>
          <w:b/>
          <w:sz w:val="24"/>
          <w:szCs w:val="24"/>
        </w:rPr>
        <w:t>O SAVIVALDYBĖS TARYBOS 201</w:t>
      </w:r>
      <w:r w:rsidR="00630125">
        <w:rPr>
          <w:b/>
          <w:sz w:val="24"/>
          <w:szCs w:val="24"/>
        </w:rPr>
        <w:t>5</w:t>
      </w:r>
      <w:r w:rsidRPr="00F9188F">
        <w:rPr>
          <w:b/>
          <w:sz w:val="24"/>
          <w:szCs w:val="24"/>
        </w:rPr>
        <w:t xml:space="preserve"> METŲ VEIKLOS ATASKAITA</w:t>
      </w:r>
    </w:p>
    <w:p w:rsidR="00010A2D" w:rsidRDefault="00010A2D" w:rsidP="00A01088">
      <w:pPr>
        <w:pStyle w:val="Bodytext"/>
        <w:spacing w:line="240" w:lineRule="auto"/>
        <w:ind w:firstLine="720"/>
        <w:jc w:val="left"/>
        <w:rPr>
          <w:sz w:val="24"/>
          <w:szCs w:val="24"/>
        </w:rPr>
      </w:pPr>
    </w:p>
    <w:p w:rsidR="00010A2D" w:rsidRDefault="00010A2D" w:rsidP="00A01088">
      <w:pPr>
        <w:pStyle w:val="Bodytext"/>
        <w:spacing w:line="240" w:lineRule="auto"/>
        <w:ind w:firstLine="720"/>
        <w:jc w:val="left"/>
        <w:rPr>
          <w:sz w:val="24"/>
          <w:szCs w:val="24"/>
        </w:rPr>
      </w:pPr>
    </w:p>
    <w:p w:rsidR="00010A2D" w:rsidRDefault="00010A2D" w:rsidP="00A01088">
      <w:pPr>
        <w:pStyle w:val="Bodytext"/>
        <w:spacing w:line="240" w:lineRule="auto"/>
        <w:ind w:firstLine="720"/>
        <w:jc w:val="left"/>
        <w:rPr>
          <w:sz w:val="24"/>
          <w:szCs w:val="24"/>
        </w:rPr>
      </w:pPr>
      <w:r>
        <w:rPr>
          <w:sz w:val="24"/>
          <w:szCs w:val="24"/>
        </w:rPr>
        <w:t xml:space="preserve">Vadovaujantis Lietuvos Respublikos vietos savivaldos įstatymu ir Rietavo savivaldybės tarybos veiklos reglamentu, teikiama Tarybos veiklos ataskaita, kurioje pateikti  faktiniai duomenys ir informacija apie pagrindinių funkcijų vykdymą. </w:t>
      </w:r>
    </w:p>
    <w:p w:rsidR="00010A2D" w:rsidRDefault="00010A2D" w:rsidP="00A01088">
      <w:pPr>
        <w:ind w:firstLine="0"/>
        <w:jc w:val="left"/>
        <w:rPr>
          <w:i/>
          <w:color w:val="000000"/>
          <w:szCs w:val="24"/>
        </w:rPr>
      </w:pPr>
      <w:r>
        <w:rPr>
          <w:i/>
          <w:color w:val="000000"/>
          <w:szCs w:val="24"/>
        </w:rPr>
        <w:t xml:space="preserve">      </w:t>
      </w:r>
    </w:p>
    <w:p w:rsidR="00010A2D" w:rsidRDefault="00010A2D" w:rsidP="00A01088">
      <w:pPr>
        <w:ind w:firstLine="0"/>
        <w:jc w:val="left"/>
        <w:rPr>
          <w:rFonts w:eastAsia="Lucida Sans Unicode"/>
          <w:kern w:val="2"/>
        </w:rPr>
      </w:pPr>
      <w:r>
        <w:rPr>
          <w:i/>
          <w:color w:val="000000"/>
          <w:szCs w:val="24"/>
        </w:rPr>
        <w:t xml:space="preserve">            </w:t>
      </w:r>
      <w:r w:rsidR="00B37EAB">
        <w:rPr>
          <w:color w:val="000000"/>
          <w:szCs w:val="24"/>
        </w:rPr>
        <w:t xml:space="preserve">2015 m. dirbo IV šaukimo </w:t>
      </w:r>
      <w:r w:rsidR="001371F0">
        <w:rPr>
          <w:color w:val="000000"/>
          <w:szCs w:val="24"/>
        </w:rPr>
        <w:t>Rietavo savivaldybės taryb</w:t>
      </w:r>
      <w:r w:rsidR="00B37EAB">
        <w:rPr>
          <w:color w:val="000000"/>
          <w:szCs w:val="24"/>
        </w:rPr>
        <w:t xml:space="preserve">a, kurią </w:t>
      </w:r>
      <w:r w:rsidR="001371F0">
        <w:rPr>
          <w:color w:val="000000"/>
          <w:szCs w:val="24"/>
        </w:rPr>
        <w:t>sudar</w:t>
      </w:r>
      <w:r w:rsidR="00B37EAB">
        <w:rPr>
          <w:color w:val="000000"/>
          <w:szCs w:val="24"/>
        </w:rPr>
        <w:t>ė</w:t>
      </w:r>
      <w:r w:rsidR="001371F0">
        <w:rPr>
          <w:color w:val="000000"/>
          <w:szCs w:val="24"/>
        </w:rPr>
        <w:t xml:space="preserve"> 17 narių. </w:t>
      </w:r>
      <w:r w:rsidRPr="00DC1483">
        <w:rPr>
          <w:rFonts w:eastAsia="Lucida Sans Unicode"/>
          <w:kern w:val="2"/>
        </w:rPr>
        <w:t>Jie atstova</w:t>
      </w:r>
      <w:r w:rsidR="00B37EAB">
        <w:rPr>
          <w:rFonts w:eastAsia="Lucida Sans Unicode"/>
          <w:kern w:val="2"/>
        </w:rPr>
        <w:t>vo</w:t>
      </w:r>
      <w:r w:rsidRPr="00DC1483">
        <w:rPr>
          <w:rFonts w:eastAsia="Lucida Sans Unicode"/>
          <w:kern w:val="2"/>
        </w:rPr>
        <w:t xml:space="preserve"> </w:t>
      </w:r>
      <w:r>
        <w:rPr>
          <w:rFonts w:eastAsia="Lucida Sans Unicode"/>
          <w:kern w:val="2"/>
        </w:rPr>
        <w:t>4</w:t>
      </w:r>
      <w:r w:rsidRPr="00DC1483">
        <w:rPr>
          <w:rFonts w:eastAsia="Lucida Sans Unicode"/>
          <w:kern w:val="2"/>
        </w:rPr>
        <w:t xml:space="preserve"> politinėms partijoms: </w:t>
      </w:r>
      <w:r w:rsidR="00BD158E">
        <w:rPr>
          <w:rFonts w:eastAsia="Lucida Sans Unicode"/>
          <w:kern w:val="2"/>
        </w:rPr>
        <w:t>Lietuvos Respublikos liberalų sąjūdžiui</w:t>
      </w:r>
      <w:r w:rsidRPr="00DC1483">
        <w:rPr>
          <w:rFonts w:eastAsia="Lucida Sans Unicode"/>
          <w:kern w:val="2"/>
        </w:rPr>
        <w:t xml:space="preserve"> (1</w:t>
      </w:r>
      <w:r>
        <w:rPr>
          <w:rFonts w:eastAsia="Lucida Sans Unicode"/>
          <w:kern w:val="2"/>
        </w:rPr>
        <w:t>1</w:t>
      </w:r>
      <w:r w:rsidRPr="00DC1483">
        <w:rPr>
          <w:rFonts w:eastAsia="Lucida Sans Unicode"/>
          <w:kern w:val="2"/>
        </w:rPr>
        <w:t xml:space="preserve"> Tarybos narių), Lietuvos socialdemokratų partijai (</w:t>
      </w:r>
      <w:r>
        <w:rPr>
          <w:rFonts w:eastAsia="Lucida Sans Unicode"/>
          <w:kern w:val="2"/>
        </w:rPr>
        <w:t>2</w:t>
      </w:r>
      <w:r w:rsidRPr="00DC1483">
        <w:rPr>
          <w:rFonts w:eastAsia="Lucida Sans Unicode"/>
          <w:kern w:val="2"/>
        </w:rPr>
        <w:t xml:space="preserve"> Tarybos nariai), </w:t>
      </w:r>
      <w:r>
        <w:rPr>
          <w:rFonts w:eastAsia="Lucida Sans Unicode"/>
          <w:kern w:val="2"/>
        </w:rPr>
        <w:t>Tėvynės sąjungai-</w:t>
      </w:r>
      <w:r w:rsidRPr="00DC1483">
        <w:rPr>
          <w:rFonts w:eastAsia="Lucida Sans Unicode"/>
          <w:kern w:val="2"/>
        </w:rPr>
        <w:t>Lietuvos krikščionims demokratams (2 Tarybos nariai), Darbo partijai (</w:t>
      </w:r>
      <w:r>
        <w:rPr>
          <w:rFonts w:eastAsia="Lucida Sans Unicode"/>
          <w:kern w:val="2"/>
        </w:rPr>
        <w:t>2</w:t>
      </w:r>
      <w:r w:rsidRPr="00DC1483">
        <w:rPr>
          <w:rFonts w:eastAsia="Lucida Sans Unicode"/>
          <w:kern w:val="2"/>
        </w:rPr>
        <w:t xml:space="preserve"> Tarybos nar</w:t>
      </w:r>
      <w:r>
        <w:rPr>
          <w:rFonts w:eastAsia="Lucida Sans Unicode"/>
          <w:kern w:val="2"/>
        </w:rPr>
        <w:t>iai</w:t>
      </w:r>
      <w:r w:rsidRPr="00DC1483">
        <w:rPr>
          <w:rFonts w:eastAsia="Lucida Sans Unicode"/>
          <w:kern w:val="2"/>
        </w:rPr>
        <w:t>)</w:t>
      </w:r>
      <w:r>
        <w:rPr>
          <w:rFonts w:eastAsia="Lucida Sans Unicode"/>
          <w:kern w:val="2"/>
        </w:rPr>
        <w:t>.</w:t>
      </w:r>
    </w:p>
    <w:p w:rsidR="00B37EAB" w:rsidRDefault="00B37EAB" w:rsidP="00A01088">
      <w:pPr>
        <w:ind w:firstLine="0"/>
        <w:jc w:val="left"/>
        <w:rPr>
          <w:rFonts w:eastAsia="Lucida Sans Unicode"/>
          <w:kern w:val="2"/>
        </w:rPr>
      </w:pPr>
      <w:r>
        <w:rPr>
          <w:rFonts w:eastAsia="Lucida Sans Unicode"/>
          <w:kern w:val="2"/>
        </w:rPr>
        <w:t xml:space="preserve">           2015 m. </w:t>
      </w:r>
      <w:r w:rsidR="00CC5F80">
        <w:rPr>
          <w:rFonts w:eastAsia="Lucida Sans Unicode"/>
          <w:kern w:val="2"/>
        </w:rPr>
        <w:t xml:space="preserve">Lietuvos Respublikoje vyko rinkimai į savivaldybių tarybas ir pirmieji tiesioginiai merų rinkimai.  </w:t>
      </w:r>
      <w:r w:rsidR="00EB5C4D">
        <w:rPr>
          <w:rFonts w:eastAsia="Lucida Sans Unicode"/>
          <w:kern w:val="2"/>
        </w:rPr>
        <w:t>Po pirmojo rinkimų turo surinkęs 76,67 proc. balsų Rietavo savivaldybės meru išrinktas Antanas Černeckis, Lietuvos Respublikos liberalų sąjūdžio atstovas. B</w:t>
      </w:r>
      <w:r>
        <w:rPr>
          <w:rFonts w:eastAsia="Lucida Sans Unicode"/>
          <w:kern w:val="2"/>
        </w:rPr>
        <w:t xml:space="preserve">alandžio 9 d. prisiekė V šaukimo Rietavo savivaldybės tarybos nariai: 11 </w:t>
      </w:r>
      <w:r w:rsidR="00A6576C">
        <w:rPr>
          <w:rFonts w:eastAsia="Lucida Sans Unicode"/>
          <w:kern w:val="2"/>
        </w:rPr>
        <w:t xml:space="preserve">Lietuvos Respublikos liberalų sąjūdžio </w:t>
      </w:r>
      <w:r w:rsidR="00EB5C4D">
        <w:rPr>
          <w:rFonts w:eastAsia="Lucida Sans Unicode"/>
          <w:kern w:val="2"/>
        </w:rPr>
        <w:t>atstovų</w:t>
      </w:r>
      <w:r w:rsidR="00A6576C">
        <w:rPr>
          <w:rFonts w:eastAsia="Lucida Sans Unicode"/>
          <w:kern w:val="2"/>
        </w:rPr>
        <w:t>, 3 Tėvynės sąjungos-</w:t>
      </w:r>
      <w:r w:rsidR="00A6576C" w:rsidRPr="00DC1483">
        <w:rPr>
          <w:rFonts w:eastAsia="Lucida Sans Unicode"/>
          <w:kern w:val="2"/>
        </w:rPr>
        <w:t>Lietuvos krikščioni</w:t>
      </w:r>
      <w:r w:rsidR="00A6576C">
        <w:rPr>
          <w:rFonts w:eastAsia="Lucida Sans Unicode"/>
          <w:kern w:val="2"/>
        </w:rPr>
        <w:t>ų</w:t>
      </w:r>
      <w:r w:rsidR="00A6576C" w:rsidRPr="00DC1483">
        <w:rPr>
          <w:rFonts w:eastAsia="Lucida Sans Unicode"/>
          <w:kern w:val="2"/>
        </w:rPr>
        <w:t xml:space="preserve"> demokrat</w:t>
      </w:r>
      <w:r w:rsidR="00A6576C">
        <w:rPr>
          <w:rFonts w:eastAsia="Lucida Sans Unicode"/>
          <w:kern w:val="2"/>
        </w:rPr>
        <w:t xml:space="preserve">ų </w:t>
      </w:r>
      <w:r w:rsidR="00EB5C4D">
        <w:rPr>
          <w:rFonts w:eastAsia="Lucida Sans Unicode"/>
          <w:kern w:val="2"/>
        </w:rPr>
        <w:t>atstov</w:t>
      </w:r>
      <w:r w:rsidR="00A6576C">
        <w:rPr>
          <w:rFonts w:eastAsia="Lucida Sans Unicode"/>
          <w:kern w:val="2"/>
        </w:rPr>
        <w:t xml:space="preserve">ai, 2 Lietuvos socialdemokratų partijos </w:t>
      </w:r>
      <w:r w:rsidR="00EB5C4D">
        <w:rPr>
          <w:rFonts w:eastAsia="Lucida Sans Unicode"/>
          <w:kern w:val="2"/>
        </w:rPr>
        <w:t>atstov</w:t>
      </w:r>
      <w:r w:rsidR="00A6576C">
        <w:rPr>
          <w:rFonts w:eastAsia="Lucida Sans Unicode"/>
          <w:kern w:val="2"/>
        </w:rPr>
        <w:t xml:space="preserve">ai ir 1 Darbo partijos </w:t>
      </w:r>
      <w:r w:rsidR="00EB5C4D">
        <w:rPr>
          <w:rFonts w:eastAsia="Lucida Sans Unicode"/>
          <w:kern w:val="2"/>
        </w:rPr>
        <w:t>atstova</w:t>
      </w:r>
      <w:r w:rsidR="00A6576C">
        <w:rPr>
          <w:rFonts w:eastAsia="Lucida Sans Unicode"/>
          <w:kern w:val="2"/>
        </w:rPr>
        <w:t>s.</w:t>
      </w:r>
    </w:p>
    <w:p w:rsidR="00010A2D" w:rsidRDefault="00010A2D" w:rsidP="00010A2D">
      <w:pPr>
        <w:ind w:firstLine="1080"/>
        <w:rPr>
          <w:rFonts w:eastAsia="Lucida Sans Unicode"/>
          <w:kern w:val="2"/>
        </w:rPr>
      </w:pPr>
    </w:p>
    <w:p w:rsidR="00010A2D" w:rsidRDefault="00010A2D" w:rsidP="00010A2D">
      <w:pPr>
        <w:ind w:right="-545" w:firstLine="1080"/>
        <w:rPr>
          <w:rFonts w:eastAsia="Lucida Sans Unicode"/>
          <w:kern w:val="2"/>
        </w:rPr>
      </w:pPr>
    </w:p>
    <w:p w:rsidR="00010A2D" w:rsidRPr="002A3111" w:rsidRDefault="00F16BE8" w:rsidP="00010A2D">
      <w:pPr>
        <w:pStyle w:val="Bodytext"/>
        <w:spacing w:line="240" w:lineRule="auto"/>
        <w:ind w:firstLine="0"/>
        <w:rPr>
          <w:sz w:val="24"/>
          <w:szCs w:val="24"/>
        </w:rPr>
      </w:pPr>
      <w:r w:rsidRPr="00F16BE8">
        <w:rPr>
          <w:noProof/>
          <w:sz w:val="24"/>
          <w:szCs w:val="24"/>
          <w:lang w:eastAsia="lt-LT"/>
        </w:rPr>
        <w:t xml:space="preserve"> </w:t>
      </w:r>
      <w:r w:rsidR="000F733E">
        <w:rPr>
          <w:noProof/>
          <w:sz w:val="24"/>
          <w:szCs w:val="24"/>
          <w:lang w:eastAsia="lt-LT"/>
        </w:rPr>
        <w:drawing>
          <wp:inline distT="0" distB="0" distL="0" distR="0">
            <wp:extent cx="6031230" cy="2959283"/>
            <wp:effectExtent l="19050" t="0" r="7620" b="0"/>
            <wp:docPr id="4" name="Paveikslėlis 2" descr="D:\Desktop\DSC_0334-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DSC_0334-1024.jpg"/>
                    <pic:cNvPicPr>
                      <a:picLocks noChangeAspect="1" noChangeArrowheads="1"/>
                    </pic:cNvPicPr>
                  </pic:nvPicPr>
                  <pic:blipFill>
                    <a:blip r:embed="rId8"/>
                    <a:srcRect/>
                    <a:stretch>
                      <a:fillRect/>
                    </a:stretch>
                  </pic:blipFill>
                  <pic:spPr bwMode="auto">
                    <a:xfrm>
                      <a:off x="0" y="0"/>
                      <a:ext cx="6031230" cy="2959283"/>
                    </a:xfrm>
                    <a:prstGeom prst="rect">
                      <a:avLst/>
                    </a:prstGeom>
                    <a:noFill/>
                    <a:ln w="9525">
                      <a:noFill/>
                      <a:miter lim="800000"/>
                      <a:headEnd/>
                      <a:tailEnd/>
                    </a:ln>
                  </pic:spPr>
                </pic:pic>
              </a:graphicData>
            </a:graphic>
          </wp:inline>
        </w:drawing>
      </w:r>
    </w:p>
    <w:p w:rsidR="00010A2D" w:rsidRDefault="00010A2D" w:rsidP="00010A2D">
      <w:pPr>
        <w:pStyle w:val="Bodytext"/>
        <w:spacing w:line="240" w:lineRule="auto"/>
        <w:ind w:firstLine="720"/>
        <w:rPr>
          <w:sz w:val="24"/>
          <w:szCs w:val="24"/>
        </w:rPr>
      </w:pPr>
    </w:p>
    <w:p w:rsidR="00010A2D" w:rsidRPr="00FB0A60" w:rsidRDefault="00010A2D" w:rsidP="00010A2D">
      <w:pPr>
        <w:pStyle w:val="Bodytext"/>
        <w:spacing w:line="240" w:lineRule="auto"/>
        <w:ind w:firstLine="720"/>
      </w:pPr>
      <w:r>
        <w:t xml:space="preserve">                      Pirmasis </w:t>
      </w:r>
      <w:r w:rsidR="00F16BE8">
        <w:t>penktojo</w:t>
      </w:r>
      <w:r>
        <w:t xml:space="preserve"> šaukimo Tarybos posėdis (201</w:t>
      </w:r>
      <w:r w:rsidR="00F16BE8">
        <w:t>5</w:t>
      </w:r>
      <w:r>
        <w:t xml:space="preserve"> m. balandžio </w:t>
      </w:r>
      <w:r w:rsidR="00F16BE8">
        <w:t>9</w:t>
      </w:r>
      <w:r>
        <w:t xml:space="preserve"> d.)</w:t>
      </w:r>
    </w:p>
    <w:p w:rsidR="00010A2D" w:rsidRDefault="00010A2D" w:rsidP="00010A2D">
      <w:r>
        <w:t xml:space="preserve">         </w:t>
      </w:r>
    </w:p>
    <w:p w:rsidR="00010A2D" w:rsidRDefault="00010A2D" w:rsidP="00010A2D"/>
    <w:p w:rsidR="00010A2D" w:rsidRDefault="00010A2D" w:rsidP="00010A2D"/>
    <w:p w:rsidR="00010A2D" w:rsidRDefault="00010A2D" w:rsidP="00010A2D"/>
    <w:p w:rsidR="00010A2D" w:rsidRDefault="00010A2D" w:rsidP="00010A2D"/>
    <w:p w:rsidR="00010A2D" w:rsidRDefault="00010A2D" w:rsidP="00010A2D"/>
    <w:p w:rsidR="00010A2D" w:rsidRDefault="00010A2D" w:rsidP="00010A2D"/>
    <w:p w:rsidR="00010A2D" w:rsidRPr="00F16BE8" w:rsidRDefault="00010A2D" w:rsidP="00A01088">
      <w:pPr>
        <w:jc w:val="left"/>
      </w:pPr>
      <w:r w:rsidRPr="00630125">
        <w:rPr>
          <w:i/>
        </w:rPr>
        <w:t xml:space="preserve">  </w:t>
      </w:r>
      <w:r w:rsidRPr="00F16BE8">
        <w:t>201</w:t>
      </w:r>
      <w:r w:rsidR="00F16BE8" w:rsidRPr="00F16BE8">
        <w:t>5</w:t>
      </w:r>
      <w:r w:rsidRPr="00F16BE8">
        <w:t xml:space="preserve"> m. Taryba svarstė  </w:t>
      </w:r>
      <w:r w:rsidR="005F53B4" w:rsidRPr="00F16BE8">
        <w:t>2</w:t>
      </w:r>
      <w:r w:rsidR="00F16BE8" w:rsidRPr="00F16BE8">
        <w:t>2</w:t>
      </w:r>
      <w:r w:rsidR="00292B82">
        <w:t>8</w:t>
      </w:r>
      <w:r w:rsidR="005F53B4" w:rsidRPr="00F16BE8">
        <w:t xml:space="preserve"> (</w:t>
      </w:r>
      <w:r w:rsidR="00F16BE8" w:rsidRPr="00F16BE8">
        <w:t xml:space="preserve">2014 m. – 240, </w:t>
      </w:r>
      <w:r w:rsidR="009A2A69" w:rsidRPr="00F16BE8">
        <w:t>2013 m. – 220</w:t>
      </w:r>
      <w:r w:rsidR="005F53B4" w:rsidRPr="00F16BE8">
        <w:t xml:space="preserve">) </w:t>
      </w:r>
      <w:r w:rsidRPr="00F16BE8">
        <w:t>sprendimų projekt</w:t>
      </w:r>
      <w:r w:rsidR="00F16BE8" w:rsidRPr="00F16BE8">
        <w:t>us</w:t>
      </w:r>
      <w:r w:rsidRPr="00F16BE8">
        <w:t xml:space="preserve">, priėmė </w:t>
      </w:r>
      <w:r w:rsidR="005F53B4" w:rsidRPr="00F16BE8">
        <w:t>2</w:t>
      </w:r>
      <w:r w:rsidR="00F16BE8" w:rsidRPr="00F16BE8">
        <w:t>27</w:t>
      </w:r>
      <w:r w:rsidRPr="00F16BE8">
        <w:t xml:space="preserve">  sprendim</w:t>
      </w:r>
      <w:r w:rsidR="00372884" w:rsidRPr="00F16BE8">
        <w:t>us</w:t>
      </w:r>
      <w:r w:rsidRPr="00F16BE8">
        <w:t xml:space="preserve"> (</w:t>
      </w:r>
      <w:r w:rsidR="00F16BE8" w:rsidRPr="00F16BE8">
        <w:t xml:space="preserve">2014 m. – 236, </w:t>
      </w:r>
      <w:r w:rsidR="009A2A69" w:rsidRPr="00F16BE8">
        <w:t>2013 m. – 220</w:t>
      </w:r>
      <w:r w:rsidRPr="00F16BE8">
        <w:t>).</w:t>
      </w:r>
    </w:p>
    <w:p w:rsidR="00010A2D" w:rsidRPr="00630125" w:rsidRDefault="00010A2D" w:rsidP="00010A2D">
      <w:pPr>
        <w:ind w:firstLine="600"/>
        <w:rPr>
          <w:b/>
          <w:i/>
        </w:rPr>
      </w:pPr>
    </w:p>
    <w:p w:rsidR="00010A2D" w:rsidRPr="0052582C" w:rsidRDefault="00010A2D" w:rsidP="00010A2D">
      <w:pPr>
        <w:ind w:firstLine="600"/>
        <w:jc w:val="center"/>
        <w:rPr>
          <w:b/>
        </w:rPr>
      </w:pPr>
      <w:r w:rsidRPr="0052582C">
        <w:rPr>
          <w:b/>
        </w:rPr>
        <w:t>Rietavo savivaldybės tarybos  201</w:t>
      </w:r>
      <w:r w:rsidR="00F16BE8" w:rsidRPr="0052582C">
        <w:rPr>
          <w:b/>
        </w:rPr>
        <w:t>5</w:t>
      </w:r>
      <w:r w:rsidRPr="0052582C">
        <w:rPr>
          <w:b/>
        </w:rPr>
        <w:t xml:space="preserve"> m. svarstytų sprendimų projektų ir</w:t>
      </w:r>
    </w:p>
    <w:p w:rsidR="00010A2D" w:rsidRPr="0052582C" w:rsidRDefault="00010A2D" w:rsidP="00010A2D">
      <w:pPr>
        <w:ind w:firstLine="600"/>
        <w:jc w:val="center"/>
        <w:rPr>
          <w:b/>
        </w:rPr>
      </w:pPr>
      <w:r w:rsidRPr="0052582C">
        <w:rPr>
          <w:b/>
        </w:rPr>
        <w:t>priimtų sprendimų skaičius</w:t>
      </w:r>
    </w:p>
    <w:p w:rsidR="00010A2D" w:rsidRPr="0052582C" w:rsidRDefault="00010A2D" w:rsidP="00010A2D">
      <w:pPr>
        <w:ind w:firstLine="600"/>
      </w:pPr>
    </w:p>
    <w:tbl>
      <w:tblPr>
        <w:tblpPr w:leftFromText="180" w:rightFromText="180" w:vertAnchor="text" w:horzAnchor="margin" w:tblpX="302" w:tblpY="179"/>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55"/>
        <w:gridCol w:w="1365"/>
        <w:gridCol w:w="1442"/>
        <w:gridCol w:w="2158"/>
        <w:gridCol w:w="2160"/>
      </w:tblGrid>
      <w:tr w:rsidR="00010A2D" w:rsidRPr="0052582C">
        <w:trPr>
          <w:trHeight w:val="889"/>
        </w:trPr>
        <w:tc>
          <w:tcPr>
            <w:tcW w:w="2055" w:type="dxa"/>
          </w:tcPr>
          <w:p w:rsidR="00010A2D" w:rsidRPr="0052582C" w:rsidRDefault="00010A2D" w:rsidP="00010A2D">
            <w:pPr>
              <w:ind w:firstLine="0"/>
              <w:jc w:val="center"/>
            </w:pPr>
            <w:r w:rsidRPr="0052582C">
              <w:lastRenderedPageBreak/>
              <w:t>Posėdžiai</w:t>
            </w:r>
          </w:p>
        </w:tc>
        <w:tc>
          <w:tcPr>
            <w:tcW w:w="1365" w:type="dxa"/>
          </w:tcPr>
          <w:p w:rsidR="00010A2D" w:rsidRPr="0052582C" w:rsidRDefault="00010A2D" w:rsidP="00010A2D">
            <w:pPr>
              <w:ind w:firstLine="0"/>
              <w:jc w:val="center"/>
            </w:pPr>
            <w:r w:rsidRPr="0052582C">
              <w:t>Data</w:t>
            </w:r>
          </w:p>
        </w:tc>
        <w:tc>
          <w:tcPr>
            <w:tcW w:w="1442" w:type="dxa"/>
          </w:tcPr>
          <w:p w:rsidR="00010A2D" w:rsidRPr="0052582C" w:rsidRDefault="00010A2D" w:rsidP="00010A2D">
            <w:pPr>
              <w:ind w:firstLine="0"/>
              <w:jc w:val="center"/>
            </w:pPr>
            <w:r w:rsidRPr="0052582C">
              <w:t>Svarstyta</w:t>
            </w:r>
          </w:p>
          <w:p w:rsidR="00010A2D" w:rsidRPr="0052582C" w:rsidRDefault="0081783A" w:rsidP="00010A2D">
            <w:pPr>
              <w:ind w:firstLine="0"/>
              <w:jc w:val="center"/>
            </w:pPr>
            <w:r w:rsidRPr="0052582C">
              <w:t>sprendimų projektų</w:t>
            </w:r>
          </w:p>
        </w:tc>
        <w:tc>
          <w:tcPr>
            <w:tcW w:w="2158" w:type="dxa"/>
          </w:tcPr>
          <w:p w:rsidR="00010A2D" w:rsidRPr="0052582C" w:rsidRDefault="00010A2D" w:rsidP="00010A2D">
            <w:pPr>
              <w:ind w:firstLine="0"/>
            </w:pPr>
            <w:r w:rsidRPr="0052582C">
              <w:t>Priimta sprendimų</w:t>
            </w:r>
          </w:p>
        </w:tc>
        <w:tc>
          <w:tcPr>
            <w:tcW w:w="2160" w:type="dxa"/>
          </w:tcPr>
          <w:p w:rsidR="00010A2D" w:rsidRPr="0052582C" w:rsidRDefault="00010A2D" w:rsidP="0081783A">
            <w:pPr>
              <w:ind w:firstLine="0"/>
              <w:jc w:val="left"/>
            </w:pPr>
            <w:r w:rsidRPr="0052582C">
              <w:t>Priimta sprendimų nuo kadencijos pradžios</w:t>
            </w:r>
          </w:p>
          <w:p w:rsidR="00010A2D" w:rsidRPr="0052582C" w:rsidRDefault="00010A2D" w:rsidP="0081783A">
            <w:pPr>
              <w:jc w:val="left"/>
            </w:pPr>
          </w:p>
        </w:tc>
      </w:tr>
      <w:tr w:rsidR="00010A2D" w:rsidRPr="0052582C">
        <w:trPr>
          <w:trHeight w:val="360"/>
        </w:trPr>
        <w:tc>
          <w:tcPr>
            <w:tcW w:w="2055" w:type="dxa"/>
            <w:shd w:val="clear" w:color="auto" w:fill="E6E6E6"/>
          </w:tcPr>
          <w:p w:rsidR="00010A2D" w:rsidRPr="0052582C" w:rsidRDefault="00010A2D" w:rsidP="00E77A1C">
            <w:pPr>
              <w:ind w:firstLine="0"/>
              <w:jc w:val="center"/>
              <w:rPr>
                <w:b/>
              </w:rPr>
            </w:pPr>
            <w:r w:rsidRPr="0052582C">
              <w:rPr>
                <w:b/>
              </w:rPr>
              <w:t>1 posėdis</w:t>
            </w:r>
          </w:p>
        </w:tc>
        <w:tc>
          <w:tcPr>
            <w:tcW w:w="1365" w:type="dxa"/>
          </w:tcPr>
          <w:p w:rsidR="00010A2D" w:rsidRPr="0052582C" w:rsidRDefault="009A2A69" w:rsidP="00292B82">
            <w:pPr>
              <w:ind w:firstLine="0"/>
              <w:jc w:val="center"/>
              <w:rPr>
                <w:b/>
              </w:rPr>
            </w:pPr>
            <w:r w:rsidRPr="0052582C">
              <w:rPr>
                <w:b/>
              </w:rPr>
              <w:t>0</w:t>
            </w:r>
            <w:r w:rsidR="00292B82" w:rsidRPr="0052582C">
              <w:rPr>
                <w:b/>
              </w:rPr>
              <w:t>1</w:t>
            </w:r>
            <w:r w:rsidRPr="0052582C">
              <w:rPr>
                <w:b/>
              </w:rPr>
              <w:t>-</w:t>
            </w:r>
            <w:r w:rsidR="00292B82" w:rsidRPr="0052582C">
              <w:rPr>
                <w:b/>
              </w:rPr>
              <w:t>22</w:t>
            </w:r>
          </w:p>
        </w:tc>
        <w:tc>
          <w:tcPr>
            <w:tcW w:w="1442" w:type="dxa"/>
          </w:tcPr>
          <w:p w:rsidR="00010A2D" w:rsidRPr="0052582C" w:rsidRDefault="00292B82" w:rsidP="00E77A1C">
            <w:pPr>
              <w:jc w:val="center"/>
              <w:rPr>
                <w:b/>
              </w:rPr>
            </w:pPr>
            <w:r w:rsidRPr="0052582C">
              <w:rPr>
                <w:b/>
              </w:rPr>
              <w:t>15</w:t>
            </w:r>
          </w:p>
        </w:tc>
        <w:tc>
          <w:tcPr>
            <w:tcW w:w="2158" w:type="dxa"/>
            <w:shd w:val="clear" w:color="auto" w:fill="D9D9D9"/>
          </w:tcPr>
          <w:p w:rsidR="00010A2D" w:rsidRPr="0052582C" w:rsidRDefault="00292B82" w:rsidP="00E77A1C">
            <w:pPr>
              <w:jc w:val="center"/>
              <w:rPr>
                <w:b/>
              </w:rPr>
            </w:pPr>
            <w:r w:rsidRPr="0052582C">
              <w:rPr>
                <w:b/>
              </w:rPr>
              <w:t>15</w:t>
            </w:r>
          </w:p>
        </w:tc>
        <w:tc>
          <w:tcPr>
            <w:tcW w:w="2160" w:type="dxa"/>
          </w:tcPr>
          <w:p w:rsidR="00010A2D" w:rsidRPr="0052582C" w:rsidRDefault="004B3272" w:rsidP="00292B82">
            <w:pPr>
              <w:jc w:val="center"/>
              <w:rPr>
                <w:b/>
              </w:rPr>
            </w:pPr>
            <w:r w:rsidRPr="0052582C">
              <w:rPr>
                <w:b/>
              </w:rPr>
              <w:t>75</w:t>
            </w:r>
            <w:r w:rsidR="00292B82" w:rsidRPr="0052582C">
              <w:rPr>
                <w:b/>
              </w:rPr>
              <w:t>0</w:t>
            </w:r>
          </w:p>
        </w:tc>
      </w:tr>
      <w:tr w:rsidR="00010A2D" w:rsidRPr="0052582C">
        <w:trPr>
          <w:trHeight w:val="340"/>
        </w:trPr>
        <w:tc>
          <w:tcPr>
            <w:tcW w:w="2055" w:type="dxa"/>
            <w:shd w:val="clear" w:color="auto" w:fill="E6E6E6"/>
          </w:tcPr>
          <w:p w:rsidR="00010A2D" w:rsidRPr="0052582C" w:rsidRDefault="00010A2D" w:rsidP="00E77A1C">
            <w:pPr>
              <w:ind w:firstLine="0"/>
              <w:jc w:val="center"/>
              <w:rPr>
                <w:b/>
              </w:rPr>
            </w:pPr>
            <w:r w:rsidRPr="0052582C">
              <w:rPr>
                <w:b/>
              </w:rPr>
              <w:t>2 posėdis</w:t>
            </w:r>
          </w:p>
        </w:tc>
        <w:tc>
          <w:tcPr>
            <w:tcW w:w="1365" w:type="dxa"/>
          </w:tcPr>
          <w:p w:rsidR="00010A2D" w:rsidRPr="0052582C" w:rsidRDefault="0081783A" w:rsidP="00292B82">
            <w:pPr>
              <w:ind w:firstLine="0"/>
              <w:jc w:val="center"/>
              <w:rPr>
                <w:b/>
              </w:rPr>
            </w:pPr>
            <w:r w:rsidRPr="0052582C">
              <w:rPr>
                <w:b/>
              </w:rPr>
              <w:t>0</w:t>
            </w:r>
            <w:r w:rsidR="00292B82" w:rsidRPr="0052582C">
              <w:rPr>
                <w:b/>
              </w:rPr>
              <w:t>2</w:t>
            </w:r>
            <w:r w:rsidRPr="0052582C">
              <w:rPr>
                <w:b/>
              </w:rPr>
              <w:t>-</w:t>
            </w:r>
            <w:r w:rsidR="00292B82" w:rsidRPr="0052582C">
              <w:rPr>
                <w:b/>
              </w:rPr>
              <w:t>12</w:t>
            </w:r>
          </w:p>
        </w:tc>
        <w:tc>
          <w:tcPr>
            <w:tcW w:w="1442" w:type="dxa"/>
          </w:tcPr>
          <w:p w:rsidR="00010A2D" w:rsidRPr="0052582C" w:rsidRDefault="0081783A" w:rsidP="00292B82">
            <w:pPr>
              <w:jc w:val="center"/>
              <w:rPr>
                <w:b/>
              </w:rPr>
            </w:pPr>
            <w:r w:rsidRPr="0052582C">
              <w:rPr>
                <w:b/>
              </w:rPr>
              <w:t>2</w:t>
            </w:r>
            <w:r w:rsidR="00292B82" w:rsidRPr="0052582C">
              <w:rPr>
                <w:b/>
              </w:rPr>
              <w:t>1</w:t>
            </w:r>
          </w:p>
        </w:tc>
        <w:tc>
          <w:tcPr>
            <w:tcW w:w="2158" w:type="dxa"/>
            <w:shd w:val="clear" w:color="auto" w:fill="D9D9D9"/>
          </w:tcPr>
          <w:p w:rsidR="00010A2D" w:rsidRPr="0052582C" w:rsidRDefault="0081783A" w:rsidP="00292B82">
            <w:pPr>
              <w:jc w:val="center"/>
              <w:rPr>
                <w:b/>
              </w:rPr>
            </w:pPr>
            <w:r w:rsidRPr="0052582C">
              <w:rPr>
                <w:b/>
              </w:rPr>
              <w:t>2</w:t>
            </w:r>
            <w:r w:rsidR="00292B82" w:rsidRPr="0052582C">
              <w:rPr>
                <w:b/>
              </w:rPr>
              <w:t>0</w:t>
            </w:r>
          </w:p>
        </w:tc>
        <w:tc>
          <w:tcPr>
            <w:tcW w:w="2160" w:type="dxa"/>
          </w:tcPr>
          <w:p w:rsidR="00010A2D" w:rsidRPr="0052582C" w:rsidRDefault="004B3272" w:rsidP="00292B82">
            <w:pPr>
              <w:jc w:val="center"/>
              <w:rPr>
                <w:b/>
              </w:rPr>
            </w:pPr>
            <w:r w:rsidRPr="0052582C">
              <w:rPr>
                <w:b/>
              </w:rPr>
              <w:t>7</w:t>
            </w:r>
            <w:r w:rsidR="00292B82" w:rsidRPr="0052582C">
              <w:rPr>
                <w:b/>
              </w:rPr>
              <w:t>7</w:t>
            </w:r>
            <w:r w:rsidRPr="0052582C">
              <w:rPr>
                <w:b/>
              </w:rPr>
              <w:t>0</w:t>
            </w:r>
          </w:p>
        </w:tc>
      </w:tr>
      <w:tr w:rsidR="00010A2D" w:rsidRPr="0052582C">
        <w:trPr>
          <w:trHeight w:val="360"/>
        </w:trPr>
        <w:tc>
          <w:tcPr>
            <w:tcW w:w="2055" w:type="dxa"/>
            <w:shd w:val="clear" w:color="auto" w:fill="E6E6E6"/>
          </w:tcPr>
          <w:p w:rsidR="00010A2D" w:rsidRPr="0052582C" w:rsidRDefault="00010A2D" w:rsidP="00E77A1C">
            <w:pPr>
              <w:ind w:firstLine="0"/>
              <w:jc w:val="center"/>
              <w:rPr>
                <w:b/>
              </w:rPr>
            </w:pPr>
            <w:r w:rsidRPr="0052582C">
              <w:rPr>
                <w:b/>
              </w:rPr>
              <w:t>3 posėdis</w:t>
            </w:r>
          </w:p>
        </w:tc>
        <w:tc>
          <w:tcPr>
            <w:tcW w:w="1365" w:type="dxa"/>
          </w:tcPr>
          <w:p w:rsidR="00010A2D" w:rsidRPr="0052582C" w:rsidRDefault="0081783A" w:rsidP="00292B82">
            <w:pPr>
              <w:ind w:firstLine="0"/>
              <w:jc w:val="center"/>
              <w:rPr>
                <w:b/>
              </w:rPr>
            </w:pPr>
            <w:r w:rsidRPr="0052582C">
              <w:rPr>
                <w:b/>
              </w:rPr>
              <w:t>04-</w:t>
            </w:r>
            <w:r w:rsidR="00292B82" w:rsidRPr="0052582C">
              <w:rPr>
                <w:b/>
              </w:rPr>
              <w:t>09</w:t>
            </w:r>
          </w:p>
        </w:tc>
        <w:tc>
          <w:tcPr>
            <w:tcW w:w="1442" w:type="dxa"/>
          </w:tcPr>
          <w:p w:rsidR="00010A2D" w:rsidRPr="0052582C" w:rsidRDefault="00292B82" w:rsidP="00E77A1C">
            <w:pPr>
              <w:jc w:val="center"/>
              <w:rPr>
                <w:b/>
              </w:rPr>
            </w:pPr>
            <w:r w:rsidRPr="0052582C">
              <w:rPr>
                <w:b/>
              </w:rPr>
              <w:t>5</w:t>
            </w:r>
          </w:p>
        </w:tc>
        <w:tc>
          <w:tcPr>
            <w:tcW w:w="2158" w:type="dxa"/>
            <w:shd w:val="clear" w:color="auto" w:fill="D9D9D9"/>
          </w:tcPr>
          <w:p w:rsidR="00010A2D" w:rsidRPr="0052582C" w:rsidRDefault="00292B82" w:rsidP="00E77A1C">
            <w:pPr>
              <w:jc w:val="center"/>
              <w:rPr>
                <w:b/>
              </w:rPr>
            </w:pPr>
            <w:r w:rsidRPr="0052582C">
              <w:rPr>
                <w:b/>
              </w:rPr>
              <w:t>5</w:t>
            </w:r>
          </w:p>
        </w:tc>
        <w:tc>
          <w:tcPr>
            <w:tcW w:w="2160" w:type="dxa"/>
          </w:tcPr>
          <w:p w:rsidR="00010A2D" w:rsidRPr="0052582C" w:rsidRDefault="00292B82" w:rsidP="00E77A1C">
            <w:pPr>
              <w:jc w:val="center"/>
              <w:rPr>
                <w:b/>
              </w:rPr>
            </w:pPr>
            <w:r w:rsidRPr="0052582C">
              <w:rPr>
                <w:b/>
              </w:rPr>
              <w:t>5</w:t>
            </w:r>
          </w:p>
        </w:tc>
      </w:tr>
      <w:tr w:rsidR="00010A2D" w:rsidRPr="0052582C">
        <w:trPr>
          <w:trHeight w:val="340"/>
        </w:trPr>
        <w:tc>
          <w:tcPr>
            <w:tcW w:w="2055" w:type="dxa"/>
            <w:shd w:val="clear" w:color="auto" w:fill="E6E6E6"/>
          </w:tcPr>
          <w:p w:rsidR="00010A2D" w:rsidRPr="0052582C" w:rsidRDefault="00010A2D" w:rsidP="00E77A1C">
            <w:pPr>
              <w:ind w:firstLine="0"/>
              <w:jc w:val="center"/>
              <w:rPr>
                <w:b/>
              </w:rPr>
            </w:pPr>
            <w:r w:rsidRPr="0052582C">
              <w:rPr>
                <w:b/>
              </w:rPr>
              <w:t>4 posėdis</w:t>
            </w:r>
          </w:p>
        </w:tc>
        <w:tc>
          <w:tcPr>
            <w:tcW w:w="1365" w:type="dxa"/>
          </w:tcPr>
          <w:p w:rsidR="00010A2D" w:rsidRPr="0052582C" w:rsidRDefault="0081783A" w:rsidP="00292B82">
            <w:pPr>
              <w:ind w:firstLine="0"/>
              <w:jc w:val="center"/>
              <w:rPr>
                <w:b/>
              </w:rPr>
            </w:pPr>
            <w:r w:rsidRPr="0052582C">
              <w:rPr>
                <w:b/>
              </w:rPr>
              <w:t>0</w:t>
            </w:r>
            <w:r w:rsidR="00292B82" w:rsidRPr="0052582C">
              <w:rPr>
                <w:b/>
              </w:rPr>
              <w:t>4</w:t>
            </w:r>
            <w:r w:rsidRPr="0052582C">
              <w:rPr>
                <w:b/>
              </w:rPr>
              <w:t>-</w:t>
            </w:r>
            <w:r w:rsidR="00292B82" w:rsidRPr="0052582C">
              <w:rPr>
                <w:b/>
              </w:rPr>
              <w:t>09</w:t>
            </w:r>
          </w:p>
        </w:tc>
        <w:tc>
          <w:tcPr>
            <w:tcW w:w="1442" w:type="dxa"/>
          </w:tcPr>
          <w:p w:rsidR="00010A2D" w:rsidRPr="0052582C" w:rsidRDefault="00292B82" w:rsidP="00E77A1C">
            <w:pPr>
              <w:jc w:val="center"/>
              <w:rPr>
                <w:b/>
              </w:rPr>
            </w:pPr>
            <w:r w:rsidRPr="0052582C">
              <w:rPr>
                <w:b/>
              </w:rPr>
              <w:t>5</w:t>
            </w:r>
          </w:p>
        </w:tc>
        <w:tc>
          <w:tcPr>
            <w:tcW w:w="2158" w:type="dxa"/>
            <w:shd w:val="clear" w:color="auto" w:fill="D9D9D9"/>
          </w:tcPr>
          <w:p w:rsidR="00010A2D" w:rsidRPr="0052582C" w:rsidRDefault="00292B82" w:rsidP="00E77A1C">
            <w:pPr>
              <w:jc w:val="center"/>
              <w:rPr>
                <w:b/>
              </w:rPr>
            </w:pPr>
            <w:r w:rsidRPr="0052582C">
              <w:rPr>
                <w:b/>
              </w:rPr>
              <w:t>5</w:t>
            </w:r>
          </w:p>
        </w:tc>
        <w:tc>
          <w:tcPr>
            <w:tcW w:w="2160" w:type="dxa"/>
          </w:tcPr>
          <w:p w:rsidR="00010A2D" w:rsidRPr="0052582C" w:rsidRDefault="00292B82" w:rsidP="00E77A1C">
            <w:pPr>
              <w:jc w:val="center"/>
              <w:rPr>
                <w:b/>
              </w:rPr>
            </w:pPr>
            <w:r w:rsidRPr="0052582C">
              <w:rPr>
                <w:b/>
              </w:rPr>
              <w:t>10</w:t>
            </w:r>
          </w:p>
        </w:tc>
      </w:tr>
      <w:tr w:rsidR="00010A2D" w:rsidRPr="0052582C">
        <w:trPr>
          <w:trHeight w:val="360"/>
        </w:trPr>
        <w:tc>
          <w:tcPr>
            <w:tcW w:w="2055" w:type="dxa"/>
            <w:shd w:val="clear" w:color="auto" w:fill="E6E6E6"/>
          </w:tcPr>
          <w:p w:rsidR="00010A2D" w:rsidRPr="0052582C" w:rsidRDefault="00010A2D" w:rsidP="00E77A1C">
            <w:pPr>
              <w:ind w:firstLine="0"/>
              <w:jc w:val="center"/>
              <w:rPr>
                <w:b/>
              </w:rPr>
            </w:pPr>
            <w:r w:rsidRPr="0052582C">
              <w:rPr>
                <w:b/>
              </w:rPr>
              <w:t>5 posėdis</w:t>
            </w:r>
          </w:p>
        </w:tc>
        <w:tc>
          <w:tcPr>
            <w:tcW w:w="1365" w:type="dxa"/>
          </w:tcPr>
          <w:p w:rsidR="00010A2D" w:rsidRPr="0052582C" w:rsidRDefault="0081783A" w:rsidP="002E0DDE">
            <w:pPr>
              <w:ind w:firstLine="0"/>
              <w:jc w:val="center"/>
              <w:rPr>
                <w:b/>
              </w:rPr>
            </w:pPr>
            <w:r w:rsidRPr="0052582C">
              <w:rPr>
                <w:b/>
              </w:rPr>
              <w:t>0</w:t>
            </w:r>
            <w:r w:rsidR="002E0DDE" w:rsidRPr="0052582C">
              <w:rPr>
                <w:b/>
              </w:rPr>
              <w:t>4</w:t>
            </w:r>
            <w:r w:rsidRPr="0052582C">
              <w:rPr>
                <w:b/>
              </w:rPr>
              <w:t>-</w:t>
            </w:r>
            <w:r w:rsidR="002E0DDE" w:rsidRPr="0052582C">
              <w:rPr>
                <w:b/>
              </w:rPr>
              <w:t>3</w:t>
            </w:r>
            <w:r w:rsidR="000302BB" w:rsidRPr="0052582C">
              <w:rPr>
                <w:b/>
              </w:rPr>
              <w:t>0</w:t>
            </w:r>
          </w:p>
        </w:tc>
        <w:tc>
          <w:tcPr>
            <w:tcW w:w="1442" w:type="dxa"/>
          </w:tcPr>
          <w:p w:rsidR="00010A2D" w:rsidRPr="0052582C" w:rsidRDefault="0081783A" w:rsidP="00E77A1C">
            <w:pPr>
              <w:jc w:val="center"/>
              <w:rPr>
                <w:b/>
              </w:rPr>
            </w:pPr>
            <w:r w:rsidRPr="0052582C">
              <w:rPr>
                <w:b/>
              </w:rPr>
              <w:t>4</w:t>
            </w:r>
            <w:r w:rsidR="002E0DDE" w:rsidRPr="0052582C">
              <w:rPr>
                <w:b/>
              </w:rPr>
              <w:t>2</w:t>
            </w:r>
          </w:p>
        </w:tc>
        <w:tc>
          <w:tcPr>
            <w:tcW w:w="2158" w:type="dxa"/>
            <w:shd w:val="clear" w:color="auto" w:fill="D9D9D9"/>
          </w:tcPr>
          <w:p w:rsidR="00010A2D" w:rsidRPr="0052582C" w:rsidRDefault="0081783A" w:rsidP="00E77A1C">
            <w:pPr>
              <w:jc w:val="center"/>
              <w:rPr>
                <w:b/>
              </w:rPr>
            </w:pPr>
            <w:r w:rsidRPr="0052582C">
              <w:rPr>
                <w:b/>
              </w:rPr>
              <w:t>4</w:t>
            </w:r>
            <w:r w:rsidR="002E0DDE" w:rsidRPr="0052582C">
              <w:rPr>
                <w:b/>
              </w:rPr>
              <w:t>2</w:t>
            </w:r>
          </w:p>
        </w:tc>
        <w:tc>
          <w:tcPr>
            <w:tcW w:w="2160" w:type="dxa"/>
          </w:tcPr>
          <w:p w:rsidR="00010A2D" w:rsidRPr="0052582C" w:rsidRDefault="002E0DDE" w:rsidP="002E0DDE">
            <w:pPr>
              <w:jc w:val="center"/>
              <w:rPr>
                <w:b/>
              </w:rPr>
            </w:pPr>
            <w:r w:rsidRPr="0052582C">
              <w:rPr>
                <w:b/>
              </w:rPr>
              <w:t>5</w:t>
            </w:r>
            <w:r w:rsidR="004B3272" w:rsidRPr="0052582C">
              <w:rPr>
                <w:b/>
              </w:rPr>
              <w:t>2</w:t>
            </w:r>
          </w:p>
        </w:tc>
      </w:tr>
      <w:tr w:rsidR="00010A2D" w:rsidRPr="0052582C">
        <w:trPr>
          <w:trHeight w:val="340"/>
        </w:trPr>
        <w:tc>
          <w:tcPr>
            <w:tcW w:w="2055" w:type="dxa"/>
            <w:shd w:val="clear" w:color="auto" w:fill="E6E6E6"/>
          </w:tcPr>
          <w:p w:rsidR="00010A2D" w:rsidRPr="0052582C" w:rsidRDefault="00010A2D" w:rsidP="00E77A1C">
            <w:pPr>
              <w:ind w:firstLine="0"/>
              <w:jc w:val="center"/>
              <w:rPr>
                <w:b/>
              </w:rPr>
            </w:pPr>
            <w:r w:rsidRPr="0052582C">
              <w:rPr>
                <w:b/>
              </w:rPr>
              <w:t>6 posėdis</w:t>
            </w:r>
          </w:p>
        </w:tc>
        <w:tc>
          <w:tcPr>
            <w:tcW w:w="1365" w:type="dxa"/>
          </w:tcPr>
          <w:p w:rsidR="00010A2D" w:rsidRPr="0052582C" w:rsidRDefault="0081783A" w:rsidP="002E0DDE">
            <w:pPr>
              <w:ind w:firstLine="0"/>
              <w:jc w:val="center"/>
              <w:rPr>
                <w:b/>
              </w:rPr>
            </w:pPr>
            <w:r w:rsidRPr="0052582C">
              <w:rPr>
                <w:b/>
              </w:rPr>
              <w:t>0</w:t>
            </w:r>
            <w:r w:rsidR="002E0DDE" w:rsidRPr="0052582C">
              <w:rPr>
                <w:b/>
              </w:rPr>
              <w:t>5</w:t>
            </w:r>
            <w:r w:rsidRPr="0052582C">
              <w:rPr>
                <w:b/>
              </w:rPr>
              <w:t>-</w:t>
            </w:r>
            <w:r w:rsidR="000302BB" w:rsidRPr="0052582C">
              <w:rPr>
                <w:b/>
              </w:rPr>
              <w:t>2</w:t>
            </w:r>
            <w:r w:rsidR="002E0DDE" w:rsidRPr="0052582C">
              <w:rPr>
                <w:b/>
              </w:rPr>
              <w:t>8</w:t>
            </w:r>
          </w:p>
        </w:tc>
        <w:tc>
          <w:tcPr>
            <w:tcW w:w="1442" w:type="dxa"/>
          </w:tcPr>
          <w:p w:rsidR="00010A2D" w:rsidRPr="0052582C" w:rsidRDefault="002E0DDE" w:rsidP="00E77A1C">
            <w:pPr>
              <w:jc w:val="center"/>
              <w:rPr>
                <w:b/>
              </w:rPr>
            </w:pPr>
            <w:r w:rsidRPr="0052582C">
              <w:rPr>
                <w:b/>
              </w:rPr>
              <w:t>34</w:t>
            </w:r>
          </w:p>
        </w:tc>
        <w:tc>
          <w:tcPr>
            <w:tcW w:w="2158" w:type="dxa"/>
            <w:shd w:val="clear" w:color="auto" w:fill="D9D9D9"/>
          </w:tcPr>
          <w:p w:rsidR="00010A2D" w:rsidRPr="0052582C" w:rsidRDefault="002E0DDE" w:rsidP="00E77A1C">
            <w:pPr>
              <w:jc w:val="center"/>
              <w:rPr>
                <w:b/>
              </w:rPr>
            </w:pPr>
            <w:r w:rsidRPr="0052582C">
              <w:rPr>
                <w:b/>
              </w:rPr>
              <w:t>34</w:t>
            </w:r>
          </w:p>
        </w:tc>
        <w:tc>
          <w:tcPr>
            <w:tcW w:w="2160" w:type="dxa"/>
          </w:tcPr>
          <w:p w:rsidR="00010A2D" w:rsidRPr="0052582C" w:rsidRDefault="004B3272" w:rsidP="002E0DDE">
            <w:pPr>
              <w:jc w:val="center"/>
              <w:rPr>
                <w:b/>
              </w:rPr>
            </w:pPr>
            <w:r w:rsidRPr="0052582C">
              <w:rPr>
                <w:b/>
              </w:rPr>
              <w:t>8</w:t>
            </w:r>
            <w:r w:rsidR="002E0DDE" w:rsidRPr="0052582C">
              <w:rPr>
                <w:b/>
              </w:rPr>
              <w:t>6</w:t>
            </w:r>
          </w:p>
        </w:tc>
      </w:tr>
      <w:tr w:rsidR="00010A2D" w:rsidRPr="0052582C">
        <w:trPr>
          <w:trHeight w:val="360"/>
        </w:trPr>
        <w:tc>
          <w:tcPr>
            <w:tcW w:w="2055" w:type="dxa"/>
            <w:shd w:val="clear" w:color="auto" w:fill="E6E6E6"/>
          </w:tcPr>
          <w:p w:rsidR="00010A2D" w:rsidRPr="0052582C" w:rsidRDefault="00010A2D" w:rsidP="00E77A1C">
            <w:pPr>
              <w:ind w:firstLine="0"/>
              <w:jc w:val="center"/>
              <w:rPr>
                <w:b/>
              </w:rPr>
            </w:pPr>
            <w:r w:rsidRPr="0052582C">
              <w:rPr>
                <w:b/>
              </w:rPr>
              <w:t>7 posėdis</w:t>
            </w:r>
          </w:p>
        </w:tc>
        <w:tc>
          <w:tcPr>
            <w:tcW w:w="1365" w:type="dxa"/>
          </w:tcPr>
          <w:p w:rsidR="00010A2D" w:rsidRPr="0052582C" w:rsidRDefault="000302BB" w:rsidP="002E0DDE">
            <w:pPr>
              <w:ind w:firstLine="0"/>
              <w:jc w:val="center"/>
              <w:rPr>
                <w:b/>
              </w:rPr>
            </w:pPr>
            <w:r w:rsidRPr="0052582C">
              <w:rPr>
                <w:b/>
              </w:rPr>
              <w:t>0</w:t>
            </w:r>
            <w:r w:rsidR="002E0DDE" w:rsidRPr="0052582C">
              <w:rPr>
                <w:b/>
              </w:rPr>
              <w:t>7</w:t>
            </w:r>
            <w:r w:rsidRPr="0052582C">
              <w:rPr>
                <w:b/>
              </w:rPr>
              <w:t>-</w:t>
            </w:r>
            <w:r w:rsidR="002E0DDE" w:rsidRPr="0052582C">
              <w:rPr>
                <w:b/>
              </w:rPr>
              <w:t>09</w:t>
            </w:r>
          </w:p>
        </w:tc>
        <w:tc>
          <w:tcPr>
            <w:tcW w:w="1442" w:type="dxa"/>
          </w:tcPr>
          <w:p w:rsidR="00010A2D" w:rsidRPr="0052582C" w:rsidRDefault="002E0DDE" w:rsidP="00E77A1C">
            <w:pPr>
              <w:jc w:val="center"/>
              <w:rPr>
                <w:b/>
              </w:rPr>
            </w:pPr>
            <w:r w:rsidRPr="0052582C">
              <w:rPr>
                <w:b/>
              </w:rPr>
              <w:t>26</w:t>
            </w:r>
          </w:p>
        </w:tc>
        <w:tc>
          <w:tcPr>
            <w:tcW w:w="2158" w:type="dxa"/>
            <w:shd w:val="clear" w:color="auto" w:fill="D9D9D9"/>
          </w:tcPr>
          <w:p w:rsidR="00010A2D" w:rsidRPr="0052582C" w:rsidRDefault="002E0DDE" w:rsidP="00E77A1C">
            <w:pPr>
              <w:jc w:val="center"/>
              <w:rPr>
                <w:b/>
              </w:rPr>
            </w:pPr>
            <w:r w:rsidRPr="0052582C">
              <w:rPr>
                <w:b/>
              </w:rPr>
              <w:t>26</w:t>
            </w:r>
          </w:p>
        </w:tc>
        <w:tc>
          <w:tcPr>
            <w:tcW w:w="2160" w:type="dxa"/>
          </w:tcPr>
          <w:p w:rsidR="00010A2D" w:rsidRPr="0052582C" w:rsidRDefault="002E0DDE" w:rsidP="00E77A1C">
            <w:pPr>
              <w:jc w:val="center"/>
              <w:rPr>
                <w:b/>
              </w:rPr>
            </w:pPr>
            <w:r w:rsidRPr="0052582C">
              <w:rPr>
                <w:b/>
              </w:rPr>
              <w:t>112</w:t>
            </w:r>
          </w:p>
        </w:tc>
      </w:tr>
      <w:tr w:rsidR="00010A2D" w:rsidRPr="0052582C">
        <w:trPr>
          <w:trHeight w:val="340"/>
        </w:trPr>
        <w:tc>
          <w:tcPr>
            <w:tcW w:w="2055" w:type="dxa"/>
            <w:shd w:val="clear" w:color="auto" w:fill="E6E6E6"/>
          </w:tcPr>
          <w:p w:rsidR="00010A2D" w:rsidRPr="0052582C" w:rsidRDefault="00010A2D" w:rsidP="00E77A1C">
            <w:pPr>
              <w:ind w:firstLine="0"/>
              <w:jc w:val="center"/>
              <w:rPr>
                <w:b/>
              </w:rPr>
            </w:pPr>
            <w:r w:rsidRPr="0052582C">
              <w:rPr>
                <w:b/>
              </w:rPr>
              <w:t>8 posėdis</w:t>
            </w:r>
          </w:p>
        </w:tc>
        <w:tc>
          <w:tcPr>
            <w:tcW w:w="1365" w:type="dxa"/>
          </w:tcPr>
          <w:p w:rsidR="00010A2D" w:rsidRPr="0052582C" w:rsidRDefault="002E0DDE" w:rsidP="002E0DDE">
            <w:pPr>
              <w:ind w:firstLine="0"/>
              <w:jc w:val="center"/>
              <w:rPr>
                <w:b/>
              </w:rPr>
            </w:pPr>
            <w:r w:rsidRPr="0052582C">
              <w:rPr>
                <w:b/>
              </w:rPr>
              <w:t>08</w:t>
            </w:r>
            <w:r w:rsidR="000302BB" w:rsidRPr="0052582C">
              <w:rPr>
                <w:b/>
              </w:rPr>
              <w:t>-2</w:t>
            </w:r>
            <w:r w:rsidRPr="0052582C">
              <w:rPr>
                <w:b/>
              </w:rPr>
              <w:t>0</w:t>
            </w:r>
          </w:p>
        </w:tc>
        <w:tc>
          <w:tcPr>
            <w:tcW w:w="1442" w:type="dxa"/>
          </w:tcPr>
          <w:p w:rsidR="00010A2D" w:rsidRPr="0052582C" w:rsidRDefault="004B3272" w:rsidP="002E0DDE">
            <w:pPr>
              <w:jc w:val="center"/>
              <w:rPr>
                <w:b/>
              </w:rPr>
            </w:pPr>
            <w:r w:rsidRPr="0052582C">
              <w:rPr>
                <w:b/>
              </w:rPr>
              <w:t>2</w:t>
            </w:r>
          </w:p>
        </w:tc>
        <w:tc>
          <w:tcPr>
            <w:tcW w:w="2158" w:type="dxa"/>
            <w:shd w:val="clear" w:color="auto" w:fill="D9D9D9"/>
          </w:tcPr>
          <w:p w:rsidR="00010A2D" w:rsidRPr="0052582C" w:rsidRDefault="004B3272" w:rsidP="002E0DDE">
            <w:pPr>
              <w:jc w:val="center"/>
              <w:rPr>
                <w:b/>
              </w:rPr>
            </w:pPr>
            <w:r w:rsidRPr="0052582C">
              <w:rPr>
                <w:b/>
              </w:rPr>
              <w:t>2</w:t>
            </w:r>
          </w:p>
        </w:tc>
        <w:tc>
          <w:tcPr>
            <w:tcW w:w="2160" w:type="dxa"/>
          </w:tcPr>
          <w:p w:rsidR="00010A2D" w:rsidRPr="0052582C" w:rsidRDefault="002E0DDE" w:rsidP="00E77A1C">
            <w:pPr>
              <w:jc w:val="center"/>
              <w:rPr>
                <w:b/>
              </w:rPr>
            </w:pPr>
            <w:r w:rsidRPr="0052582C">
              <w:rPr>
                <w:b/>
              </w:rPr>
              <w:t>114</w:t>
            </w:r>
          </w:p>
        </w:tc>
      </w:tr>
      <w:tr w:rsidR="00010A2D" w:rsidRPr="0052582C">
        <w:trPr>
          <w:trHeight w:val="360"/>
        </w:trPr>
        <w:tc>
          <w:tcPr>
            <w:tcW w:w="2055" w:type="dxa"/>
            <w:shd w:val="clear" w:color="auto" w:fill="E6E6E6"/>
          </w:tcPr>
          <w:p w:rsidR="00010A2D" w:rsidRPr="0052582C" w:rsidRDefault="00010A2D" w:rsidP="00E77A1C">
            <w:pPr>
              <w:ind w:firstLine="0"/>
              <w:jc w:val="center"/>
              <w:rPr>
                <w:b/>
              </w:rPr>
            </w:pPr>
            <w:r w:rsidRPr="0052582C">
              <w:rPr>
                <w:b/>
              </w:rPr>
              <w:t>9 posėdis</w:t>
            </w:r>
          </w:p>
        </w:tc>
        <w:tc>
          <w:tcPr>
            <w:tcW w:w="1365" w:type="dxa"/>
          </w:tcPr>
          <w:p w:rsidR="00010A2D" w:rsidRPr="0052582C" w:rsidRDefault="002E0DDE" w:rsidP="002E0DDE">
            <w:pPr>
              <w:ind w:firstLine="0"/>
              <w:jc w:val="center"/>
              <w:rPr>
                <w:b/>
              </w:rPr>
            </w:pPr>
            <w:r w:rsidRPr="0052582C">
              <w:rPr>
                <w:b/>
              </w:rPr>
              <w:t>09</w:t>
            </w:r>
            <w:r w:rsidR="004B3272" w:rsidRPr="0052582C">
              <w:rPr>
                <w:b/>
              </w:rPr>
              <w:t>-</w:t>
            </w:r>
            <w:r w:rsidRPr="0052582C">
              <w:rPr>
                <w:b/>
              </w:rPr>
              <w:t>1</w:t>
            </w:r>
            <w:r w:rsidR="004B3272" w:rsidRPr="0052582C">
              <w:rPr>
                <w:b/>
              </w:rPr>
              <w:t>7</w:t>
            </w:r>
          </w:p>
        </w:tc>
        <w:tc>
          <w:tcPr>
            <w:tcW w:w="1442" w:type="dxa"/>
          </w:tcPr>
          <w:p w:rsidR="00010A2D" w:rsidRPr="0052582C" w:rsidRDefault="0052582C" w:rsidP="00E77A1C">
            <w:pPr>
              <w:jc w:val="center"/>
              <w:rPr>
                <w:b/>
              </w:rPr>
            </w:pPr>
            <w:r w:rsidRPr="0052582C">
              <w:rPr>
                <w:b/>
              </w:rPr>
              <w:t>19</w:t>
            </w:r>
          </w:p>
        </w:tc>
        <w:tc>
          <w:tcPr>
            <w:tcW w:w="2158" w:type="dxa"/>
            <w:shd w:val="clear" w:color="auto" w:fill="D9D9D9"/>
          </w:tcPr>
          <w:p w:rsidR="00010A2D" w:rsidRPr="0052582C" w:rsidRDefault="0052582C" w:rsidP="00E77A1C">
            <w:pPr>
              <w:jc w:val="center"/>
              <w:rPr>
                <w:b/>
              </w:rPr>
            </w:pPr>
            <w:r w:rsidRPr="0052582C">
              <w:rPr>
                <w:b/>
              </w:rPr>
              <w:t>19</w:t>
            </w:r>
          </w:p>
        </w:tc>
        <w:tc>
          <w:tcPr>
            <w:tcW w:w="2160" w:type="dxa"/>
          </w:tcPr>
          <w:p w:rsidR="00010A2D" w:rsidRPr="0052582C" w:rsidRDefault="0052582C" w:rsidP="00E77A1C">
            <w:pPr>
              <w:jc w:val="center"/>
              <w:rPr>
                <w:b/>
              </w:rPr>
            </w:pPr>
            <w:r w:rsidRPr="0052582C">
              <w:rPr>
                <w:b/>
              </w:rPr>
              <w:t>133</w:t>
            </w:r>
          </w:p>
        </w:tc>
      </w:tr>
      <w:tr w:rsidR="004B3272" w:rsidRPr="0052582C">
        <w:trPr>
          <w:trHeight w:val="360"/>
        </w:trPr>
        <w:tc>
          <w:tcPr>
            <w:tcW w:w="2055" w:type="dxa"/>
            <w:shd w:val="clear" w:color="auto" w:fill="E6E6E6"/>
          </w:tcPr>
          <w:p w:rsidR="004B3272" w:rsidRPr="0052582C" w:rsidRDefault="004B3272" w:rsidP="00E77A1C">
            <w:pPr>
              <w:ind w:firstLine="0"/>
              <w:jc w:val="center"/>
              <w:rPr>
                <w:b/>
              </w:rPr>
            </w:pPr>
            <w:r w:rsidRPr="0052582C">
              <w:rPr>
                <w:b/>
              </w:rPr>
              <w:t>10 posėdis</w:t>
            </w:r>
          </w:p>
        </w:tc>
        <w:tc>
          <w:tcPr>
            <w:tcW w:w="1365" w:type="dxa"/>
          </w:tcPr>
          <w:p w:rsidR="004B3272" w:rsidRPr="0052582C" w:rsidRDefault="004B3272" w:rsidP="0052582C">
            <w:pPr>
              <w:ind w:firstLine="0"/>
              <w:jc w:val="center"/>
              <w:rPr>
                <w:b/>
              </w:rPr>
            </w:pPr>
            <w:r w:rsidRPr="0052582C">
              <w:rPr>
                <w:b/>
              </w:rPr>
              <w:t>1</w:t>
            </w:r>
            <w:r w:rsidR="0052582C" w:rsidRPr="0052582C">
              <w:rPr>
                <w:b/>
              </w:rPr>
              <w:t>0</w:t>
            </w:r>
            <w:r w:rsidRPr="0052582C">
              <w:rPr>
                <w:b/>
              </w:rPr>
              <w:t>-</w:t>
            </w:r>
            <w:r w:rsidR="0052582C" w:rsidRPr="0052582C">
              <w:rPr>
                <w:b/>
              </w:rPr>
              <w:t>22</w:t>
            </w:r>
          </w:p>
        </w:tc>
        <w:tc>
          <w:tcPr>
            <w:tcW w:w="1442" w:type="dxa"/>
          </w:tcPr>
          <w:p w:rsidR="004B3272" w:rsidRPr="0052582C" w:rsidRDefault="0052582C" w:rsidP="004B3272">
            <w:pPr>
              <w:jc w:val="center"/>
              <w:rPr>
                <w:b/>
              </w:rPr>
            </w:pPr>
            <w:r w:rsidRPr="0052582C">
              <w:rPr>
                <w:b/>
              </w:rPr>
              <w:t>12</w:t>
            </w:r>
          </w:p>
        </w:tc>
        <w:tc>
          <w:tcPr>
            <w:tcW w:w="2158" w:type="dxa"/>
            <w:shd w:val="clear" w:color="auto" w:fill="D9D9D9"/>
          </w:tcPr>
          <w:p w:rsidR="004B3272" w:rsidRPr="0052582C" w:rsidRDefault="0052582C" w:rsidP="00E77A1C">
            <w:pPr>
              <w:jc w:val="center"/>
              <w:rPr>
                <w:b/>
              </w:rPr>
            </w:pPr>
            <w:r w:rsidRPr="0052582C">
              <w:rPr>
                <w:b/>
              </w:rPr>
              <w:t>12</w:t>
            </w:r>
          </w:p>
        </w:tc>
        <w:tc>
          <w:tcPr>
            <w:tcW w:w="2160" w:type="dxa"/>
          </w:tcPr>
          <w:p w:rsidR="004B3272" w:rsidRPr="0052582C" w:rsidRDefault="0052582C" w:rsidP="00E77A1C">
            <w:pPr>
              <w:jc w:val="center"/>
              <w:rPr>
                <w:b/>
              </w:rPr>
            </w:pPr>
            <w:r w:rsidRPr="0052582C">
              <w:rPr>
                <w:b/>
              </w:rPr>
              <w:t>145</w:t>
            </w:r>
          </w:p>
        </w:tc>
      </w:tr>
      <w:tr w:rsidR="0052582C" w:rsidRPr="0052582C">
        <w:trPr>
          <w:trHeight w:val="360"/>
        </w:trPr>
        <w:tc>
          <w:tcPr>
            <w:tcW w:w="2055" w:type="dxa"/>
            <w:shd w:val="clear" w:color="auto" w:fill="E6E6E6"/>
          </w:tcPr>
          <w:p w:rsidR="0052582C" w:rsidRPr="0052582C" w:rsidRDefault="0052582C" w:rsidP="00E77A1C">
            <w:pPr>
              <w:ind w:firstLine="0"/>
              <w:jc w:val="center"/>
              <w:rPr>
                <w:b/>
              </w:rPr>
            </w:pPr>
            <w:r w:rsidRPr="0052582C">
              <w:rPr>
                <w:b/>
              </w:rPr>
              <w:t>11 posėdis</w:t>
            </w:r>
          </w:p>
        </w:tc>
        <w:tc>
          <w:tcPr>
            <w:tcW w:w="1365" w:type="dxa"/>
          </w:tcPr>
          <w:p w:rsidR="0052582C" w:rsidRPr="0052582C" w:rsidRDefault="0052582C" w:rsidP="0052582C">
            <w:pPr>
              <w:ind w:firstLine="0"/>
              <w:jc w:val="center"/>
              <w:rPr>
                <w:b/>
              </w:rPr>
            </w:pPr>
            <w:r w:rsidRPr="0052582C">
              <w:rPr>
                <w:b/>
              </w:rPr>
              <w:t>11-19</w:t>
            </w:r>
          </w:p>
        </w:tc>
        <w:tc>
          <w:tcPr>
            <w:tcW w:w="1442" w:type="dxa"/>
          </w:tcPr>
          <w:p w:rsidR="0052582C" w:rsidRPr="0052582C" w:rsidRDefault="0052582C" w:rsidP="004B3272">
            <w:pPr>
              <w:jc w:val="center"/>
              <w:rPr>
                <w:b/>
              </w:rPr>
            </w:pPr>
            <w:r w:rsidRPr="0052582C">
              <w:rPr>
                <w:b/>
              </w:rPr>
              <w:t>18</w:t>
            </w:r>
          </w:p>
        </w:tc>
        <w:tc>
          <w:tcPr>
            <w:tcW w:w="2158" w:type="dxa"/>
            <w:shd w:val="clear" w:color="auto" w:fill="D9D9D9"/>
          </w:tcPr>
          <w:p w:rsidR="0052582C" w:rsidRPr="0052582C" w:rsidRDefault="0052582C" w:rsidP="00E77A1C">
            <w:pPr>
              <w:jc w:val="center"/>
              <w:rPr>
                <w:b/>
              </w:rPr>
            </w:pPr>
            <w:r w:rsidRPr="0052582C">
              <w:rPr>
                <w:b/>
              </w:rPr>
              <w:t>18</w:t>
            </w:r>
          </w:p>
        </w:tc>
        <w:tc>
          <w:tcPr>
            <w:tcW w:w="2160" w:type="dxa"/>
          </w:tcPr>
          <w:p w:rsidR="0052582C" w:rsidRPr="0052582C" w:rsidRDefault="0052582C" w:rsidP="00E77A1C">
            <w:pPr>
              <w:jc w:val="center"/>
              <w:rPr>
                <w:b/>
              </w:rPr>
            </w:pPr>
            <w:r w:rsidRPr="0052582C">
              <w:rPr>
                <w:b/>
              </w:rPr>
              <w:t>163</w:t>
            </w:r>
          </w:p>
        </w:tc>
      </w:tr>
      <w:tr w:rsidR="0052582C" w:rsidRPr="0052582C">
        <w:trPr>
          <w:trHeight w:val="360"/>
        </w:trPr>
        <w:tc>
          <w:tcPr>
            <w:tcW w:w="2055" w:type="dxa"/>
            <w:shd w:val="clear" w:color="auto" w:fill="E6E6E6"/>
          </w:tcPr>
          <w:p w:rsidR="0052582C" w:rsidRPr="0052582C" w:rsidRDefault="0052582C" w:rsidP="00E77A1C">
            <w:pPr>
              <w:ind w:firstLine="0"/>
              <w:jc w:val="center"/>
              <w:rPr>
                <w:b/>
              </w:rPr>
            </w:pPr>
            <w:r w:rsidRPr="0052582C">
              <w:rPr>
                <w:b/>
              </w:rPr>
              <w:t>12 posėdis</w:t>
            </w:r>
          </w:p>
        </w:tc>
        <w:tc>
          <w:tcPr>
            <w:tcW w:w="1365" w:type="dxa"/>
          </w:tcPr>
          <w:p w:rsidR="0052582C" w:rsidRPr="0052582C" w:rsidRDefault="0052582C" w:rsidP="0052582C">
            <w:pPr>
              <w:ind w:firstLine="0"/>
              <w:jc w:val="center"/>
              <w:rPr>
                <w:b/>
              </w:rPr>
            </w:pPr>
            <w:r w:rsidRPr="0052582C">
              <w:rPr>
                <w:b/>
              </w:rPr>
              <w:t>12-16</w:t>
            </w:r>
          </w:p>
        </w:tc>
        <w:tc>
          <w:tcPr>
            <w:tcW w:w="1442" w:type="dxa"/>
          </w:tcPr>
          <w:p w:rsidR="0052582C" w:rsidRPr="0052582C" w:rsidRDefault="0052582C" w:rsidP="004B3272">
            <w:pPr>
              <w:jc w:val="center"/>
              <w:rPr>
                <w:b/>
              </w:rPr>
            </w:pPr>
            <w:r w:rsidRPr="0052582C">
              <w:rPr>
                <w:b/>
              </w:rPr>
              <w:t>29</w:t>
            </w:r>
          </w:p>
        </w:tc>
        <w:tc>
          <w:tcPr>
            <w:tcW w:w="2158" w:type="dxa"/>
            <w:shd w:val="clear" w:color="auto" w:fill="D9D9D9"/>
          </w:tcPr>
          <w:p w:rsidR="0052582C" w:rsidRPr="0052582C" w:rsidRDefault="0052582C" w:rsidP="00E77A1C">
            <w:pPr>
              <w:jc w:val="center"/>
              <w:rPr>
                <w:b/>
              </w:rPr>
            </w:pPr>
            <w:r w:rsidRPr="0052582C">
              <w:rPr>
                <w:b/>
              </w:rPr>
              <w:t>29</w:t>
            </w:r>
          </w:p>
        </w:tc>
        <w:tc>
          <w:tcPr>
            <w:tcW w:w="2160" w:type="dxa"/>
          </w:tcPr>
          <w:p w:rsidR="0052582C" w:rsidRPr="0052582C" w:rsidRDefault="0052582C" w:rsidP="00E77A1C">
            <w:pPr>
              <w:jc w:val="center"/>
              <w:rPr>
                <w:b/>
              </w:rPr>
            </w:pPr>
            <w:r w:rsidRPr="0052582C">
              <w:rPr>
                <w:b/>
              </w:rPr>
              <w:t>192</w:t>
            </w:r>
          </w:p>
        </w:tc>
      </w:tr>
    </w:tbl>
    <w:p w:rsidR="00010A2D" w:rsidRPr="0052582C" w:rsidRDefault="00010A2D" w:rsidP="00E77A1C">
      <w:pPr>
        <w:ind w:firstLine="600"/>
        <w:jc w:val="center"/>
      </w:pPr>
    </w:p>
    <w:p w:rsidR="00010A2D" w:rsidRPr="00630125" w:rsidRDefault="00010A2D" w:rsidP="00010A2D">
      <w:pPr>
        <w:ind w:firstLine="600"/>
        <w:rPr>
          <w:i/>
        </w:rPr>
      </w:pPr>
    </w:p>
    <w:p w:rsidR="00010A2D" w:rsidRPr="00630125" w:rsidRDefault="00010A2D" w:rsidP="00010A2D">
      <w:pPr>
        <w:ind w:firstLine="600"/>
        <w:rPr>
          <w:i/>
        </w:rPr>
      </w:pPr>
    </w:p>
    <w:p w:rsidR="00010A2D" w:rsidRPr="00FA18B8" w:rsidRDefault="00010A2D" w:rsidP="00A01088">
      <w:pPr>
        <w:ind w:firstLine="600"/>
        <w:jc w:val="left"/>
      </w:pPr>
      <w:r w:rsidRPr="00FA18B8">
        <w:t>201</w:t>
      </w:r>
      <w:r w:rsidR="005177D1" w:rsidRPr="00FA18B8">
        <w:t>5</w:t>
      </w:r>
      <w:r w:rsidRPr="00FA18B8">
        <w:t xml:space="preserve"> m. Savivaldybės administracija  Tarybos veiklos  reglamento nustatyt</w:t>
      </w:r>
      <w:r w:rsidR="00F449BF">
        <w:t>a</w:t>
      </w:r>
      <w:r w:rsidRPr="00FA18B8">
        <w:t xml:space="preserve"> tvark</w:t>
      </w:r>
      <w:r w:rsidR="00F449BF">
        <w:t>a</w:t>
      </w:r>
      <w:r w:rsidRPr="00FA18B8">
        <w:t xml:space="preserve"> Tarybai svarstyti pateikė </w:t>
      </w:r>
      <w:r w:rsidR="00AF05F0" w:rsidRPr="00FA18B8">
        <w:t>2</w:t>
      </w:r>
      <w:r w:rsidR="00FA18B8" w:rsidRPr="00FA18B8">
        <w:t>2</w:t>
      </w:r>
      <w:r w:rsidR="009002D0">
        <w:t>4</w:t>
      </w:r>
      <w:r w:rsidR="00AF05F0" w:rsidRPr="00FA18B8">
        <w:t xml:space="preserve"> (</w:t>
      </w:r>
      <w:r w:rsidR="00FA18B8" w:rsidRPr="00FA18B8">
        <w:t xml:space="preserve">2014 m. – 231, </w:t>
      </w:r>
      <w:r w:rsidR="008E5C7B" w:rsidRPr="00FA18B8">
        <w:t>2013 m. – 20</w:t>
      </w:r>
      <w:r w:rsidR="004D5073">
        <w:t>8</w:t>
      </w:r>
      <w:r w:rsidR="00AF05F0" w:rsidRPr="00FA18B8">
        <w:t>)</w:t>
      </w:r>
      <w:r w:rsidRPr="00FA18B8">
        <w:t xml:space="preserve"> sprendimo projektus</w:t>
      </w:r>
      <w:r w:rsidR="008E5C7B" w:rsidRPr="00FA18B8">
        <w:t>:</w:t>
      </w:r>
      <w:r w:rsidRPr="00FA18B8">
        <w:t xml:space="preserve"> Teisės ir finansų skyrius </w:t>
      </w:r>
      <w:r w:rsidR="00870420" w:rsidRPr="00FA18B8">
        <w:t xml:space="preserve">– </w:t>
      </w:r>
      <w:r w:rsidR="008E5C7B" w:rsidRPr="00FA18B8">
        <w:t>1</w:t>
      </w:r>
      <w:r w:rsidR="00FA18B8" w:rsidRPr="00FA18B8">
        <w:t>02</w:t>
      </w:r>
      <w:r w:rsidR="00EA5DB2" w:rsidRPr="00FA18B8">
        <w:t xml:space="preserve"> </w:t>
      </w:r>
      <w:r w:rsidR="00870420" w:rsidRPr="00FA18B8">
        <w:t>(</w:t>
      </w:r>
      <w:r w:rsidR="00FA18B8" w:rsidRPr="00FA18B8">
        <w:t xml:space="preserve">2014 m. – 115, </w:t>
      </w:r>
      <w:r w:rsidR="008E5C7B" w:rsidRPr="00FA18B8">
        <w:t>2013 m. – 99</w:t>
      </w:r>
      <w:r w:rsidRPr="00FA18B8">
        <w:t>), Architekt</w:t>
      </w:r>
      <w:r w:rsidR="00AF05F0" w:rsidRPr="00FA18B8">
        <w:t>ūros skyrius</w:t>
      </w:r>
      <w:r w:rsidR="00870420" w:rsidRPr="00FA18B8">
        <w:t xml:space="preserve"> –</w:t>
      </w:r>
      <w:r w:rsidRPr="00FA18B8">
        <w:t xml:space="preserve"> </w:t>
      </w:r>
      <w:r w:rsidR="00FA18B8" w:rsidRPr="00FA18B8">
        <w:t>2</w:t>
      </w:r>
      <w:r w:rsidR="00870420" w:rsidRPr="00FA18B8">
        <w:t xml:space="preserve"> </w:t>
      </w:r>
      <w:r w:rsidR="00EA5DB2" w:rsidRPr="00FA18B8">
        <w:t xml:space="preserve"> </w:t>
      </w:r>
      <w:r w:rsidR="00870420" w:rsidRPr="00FA18B8">
        <w:t>(</w:t>
      </w:r>
      <w:r w:rsidR="00FA18B8" w:rsidRPr="00FA18B8">
        <w:t xml:space="preserve">2014 m. – 4, </w:t>
      </w:r>
      <w:r w:rsidR="008E5C7B" w:rsidRPr="00FA18B8">
        <w:t>2013 m. – 18</w:t>
      </w:r>
      <w:r w:rsidRPr="00FA18B8">
        <w:t xml:space="preserve">), Kanceliarija </w:t>
      </w:r>
      <w:r w:rsidR="00870420" w:rsidRPr="00FA18B8">
        <w:t xml:space="preserve">– </w:t>
      </w:r>
      <w:r w:rsidR="00FA18B8" w:rsidRPr="00FA18B8">
        <w:t>35</w:t>
      </w:r>
      <w:r w:rsidR="00F449BF">
        <w:t xml:space="preserve"> </w:t>
      </w:r>
      <w:r w:rsidR="00870420" w:rsidRPr="00FA18B8">
        <w:t>(</w:t>
      </w:r>
      <w:r w:rsidR="00FA18B8" w:rsidRPr="00FA18B8">
        <w:t xml:space="preserve">2014 m. – 22, </w:t>
      </w:r>
      <w:r w:rsidR="008E5C7B" w:rsidRPr="00FA18B8">
        <w:t>2013 m. – 18</w:t>
      </w:r>
      <w:r w:rsidRPr="00FA18B8">
        <w:t xml:space="preserve">), Sveikatos, socialinės paramos ir rūpybos skyrius </w:t>
      </w:r>
      <w:r w:rsidR="00870420" w:rsidRPr="00FA18B8">
        <w:t xml:space="preserve">– </w:t>
      </w:r>
      <w:r w:rsidR="00FA18B8" w:rsidRPr="00FA18B8">
        <w:t>24</w:t>
      </w:r>
      <w:r w:rsidR="00870420" w:rsidRPr="00FA18B8">
        <w:t xml:space="preserve"> (</w:t>
      </w:r>
      <w:r w:rsidR="00FA18B8" w:rsidRPr="00FA18B8">
        <w:t xml:space="preserve">2014 m. – 35, </w:t>
      </w:r>
      <w:r w:rsidR="008E5C7B" w:rsidRPr="00FA18B8">
        <w:t>2013 m. – 20</w:t>
      </w:r>
      <w:r w:rsidRPr="00FA18B8">
        <w:t xml:space="preserve">), Švietimo, kultūros ir sporto skyrius </w:t>
      </w:r>
      <w:r w:rsidR="00870420" w:rsidRPr="00FA18B8">
        <w:t xml:space="preserve"> – </w:t>
      </w:r>
      <w:r w:rsidR="00FA18B8" w:rsidRPr="00FA18B8">
        <w:t>15</w:t>
      </w:r>
      <w:r w:rsidR="00870420" w:rsidRPr="00FA18B8">
        <w:t xml:space="preserve"> (</w:t>
      </w:r>
      <w:r w:rsidR="00FA18B8" w:rsidRPr="00FA18B8">
        <w:t xml:space="preserve">2014 m. – 23, </w:t>
      </w:r>
      <w:r w:rsidR="008E5C7B" w:rsidRPr="00FA18B8">
        <w:t>2013 m. – 14</w:t>
      </w:r>
      <w:r w:rsidRPr="00FA18B8">
        <w:t xml:space="preserve">), Vietos ūkio skyrius </w:t>
      </w:r>
      <w:r w:rsidR="00870420" w:rsidRPr="00FA18B8">
        <w:t xml:space="preserve">– </w:t>
      </w:r>
      <w:r w:rsidR="00FA18B8" w:rsidRPr="00FA18B8">
        <w:t>32</w:t>
      </w:r>
      <w:r w:rsidR="00870420" w:rsidRPr="00FA18B8">
        <w:t xml:space="preserve"> (</w:t>
      </w:r>
      <w:r w:rsidR="00FA18B8" w:rsidRPr="00FA18B8">
        <w:t xml:space="preserve">2014 m. – 24, </w:t>
      </w:r>
      <w:r w:rsidR="008E5C7B" w:rsidRPr="00FA18B8">
        <w:t>2013 m. – 21</w:t>
      </w:r>
      <w:r w:rsidRPr="00FA18B8">
        <w:t xml:space="preserve">), Žemės ūkio skyrius </w:t>
      </w:r>
      <w:r w:rsidR="00870420" w:rsidRPr="00FA18B8">
        <w:t xml:space="preserve">– </w:t>
      </w:r>
      <w:r w:rsidR="00FA18B8" w:rsidRPr="00FA18B8">
        <w:t>5</w:t>
      </w:r>
      <w:r w:rsidR="00870420" w:rsidRPr="00FA18B8">
        <w:t xml:space="preserve"> (</w:t>
      </w:r>
      <w:r w:rsidR="00FA18B8" w:rsidRPr="00FA18B8">
        <w:t xml:space="preserve">2014 m. – 3, </w:t>
      </w:r>
      <w:r w:rsidR="008E5C7B" w:rsidRPr="00FA18B8">
        <w:t>2013 m. – 3</w:t>
      </w:r>
      <w:r w:rsidRPr="00FA18B8">
        <w:t xml:space="preserve">), specialistai, neįeinantys į Savivaldybės administracijos skyrius </w:t>
      </w:r>
      <w:r w:rsidR="00870420" w:rsidRPr="00FA18B8">
        <w:t xml:space="preserve">– </w:t>
      </w:r>
      <w:r w:rsidR="00FA18B8">
        <w:t>9</w:t>
      </w:r>
      <w:r w:rsidR="00870420" w:rsidRPr="00FA18B8">
        <w:t xml:space="preserve"> (</w:t>
      </w:r>
      <w:r w:rsidR="00FA18B8" w:rsidRPr="00FA18B8">
        <w:t xml:space="preserve">2014 m. – </w:t>
      </w:r>
      <w:r w:rsidR="00FA18B8">
        <w:t>4</w:t>
      </w:r>
      <w:r w:rsidR="00FA18B8" w:rsidRPr="00FA18B8">
        <w:t>,</w:t>
      </w:r>
      <w:r w:rsidR="00FA18B8">
        <w:rPr>
          <w:i/>
        </w:rPr>
        <w:t xml:space="preserve"> </w:t>
      </w:r>
      <w:r w:rsidR="008E5C7B" w:rsidRPr="00FA18B8">
        <w:t>2013 m. – 13</w:t>
      </w:r>
      <w:r w:rsidRPr="00FA18B8">
        <w:t xml:space="preserve">). Sprendimų projektus teikė Kontrolės komitetas </w:t>
      </w:r>
      <w:r w:rsidR="00870420" w:rsidRPr="00FA18B8">
        <w:t xml:space="preserve">– </w:t>
      </w:r>
      <w:r w:rsidR="00FA18B8">
        <w:t>2</w:t>
      </w:r>
      <w:r w:rsidR="00870420" w:rsidRPr="00FA18B8">
        <w:t xml:space="preserve"> (</w:t>
      </w:r>
      <w:r w:rsidR="00FA18B8" w:rsidRPr="00FA18B8">
        <w:t>2014 m. – 3,</w:t>
      </w:r>
      <w:r w:rsidR="00FA18B8">
        <w:rPr>
          <w:i/>
        </w:rPr>
        <w:t xml:space="preserve"> </w:t>
      </w:r>
      <w:r w:rsidR="008E5C7B" w:rsidRPr="00FA18B8">
        <w:t>2013 m. – 2</w:t>
      </w:r>
      <w:r w:rsidRPr="00FA18B8">
        <w:t xml:space="preserve">), Savivaldybės kontrolierius </w:t>
      </w:r>
      <w:r w:rsidR="00870420" w:rsidRPr="00FA18B8">
        <w:t xml:space="preserve">– </w:t>
      </w:r>
      <w:r w:rsidR="008E5C7B" w:rsidRPr="00FA18B8">
        <w:t>1</w:t>
      </w:r>
      <w:r w:rsidR="00870420" w:rsidRPr="00FA18B8">
        <w:t xml:space="preserve"> (</w:t>
      </w:r>
      <w:r w:rsidR="008E5C7B" w:rsidRPr="00FA18B8">
        <w:t>201</w:t>
      </w:r>
      <w:r w:rsidR="00FA18B8">
        <w:t>4</w:t>
      </w:r>
      <w:r w:rsidR="008E5C7B" w:rsidRPr="00FA18B8">
        <w:t xml:space="preserve"> m. – 1, </w:t>
      </w:r>
      <w:r w:rsidR="00EA5DB2" w:rsidRPr="00FA18B8">
        <w:t>201</w:t>
      </w:r>
      <w:r w:rsidR="00FA18B8">
        <w:t>3</w:t>
      </w:r>
      <w:r w:rsidR="00EA5DB2" w:rsidRPr="00FA18B8">
        <w:t xml:space="preserve"> m. – </w:t>
      </w:r>
      <w:r w:rsidR="00FA18B8">
        <w:t>1</w:t>
      </w:r>
      <w:r w:rsidRPr="00FA18B8">
        <w:t xml:space="preserve">), Savivaldybės įstaigos </w:t>
      </w:r>
      <w:r w:rsidR="00870420" w:rsidRPr="00FA18B8">
        <w:t xml:space="preserve">– </w:t>
      </w:r>
      <w:r w:rsidR="00FA18B8">
        <w:t>1</w:t>
      </w:r>
      <w:r w:rsidR="00EA5DB2" w:rsidRPr="00FA18B8">
        <w:t xml:space="preserve"> </w:t>
      </w:r>
      <w:r w:rsidR="00870420" w:rsidRPr="00FA18B8">
        <w:t>(</w:t>
      </w:r>
      <w:r w:rsidR="008E5C7B" w:rsidRPr="00FA18B8">
        <w:t>201</w:t>
      </w:r>
      <w:r w:rsidR="00FA18B8">
        <w:t>4</w:t>
      </w:r>
      <w:r w:rsidR="008E5C7B" w:rsidRPr="00FA18B8">
        <w:t xml:space="preserve"> m. – </w:t>
      </w:r>
      <w:r w:rsidR="00FA18B8">
        <w:t>5</w:t>
      </w:r>
      <w:r w:rsidR="008E5C7B" w:rsidRPr="00FA18B8">
        <w:t xml:space="preserve">, </w:t>
      </w:r>
      <w:r w:rsidR="00EA5DB2" w:rsidRPr="00FA18B8">
        <w:t>201</w:t>
      </w:r>
      <w:r w:rsidR="00FA18B8">
        <w:t>3</w:t>
      </w:r>
      <w:r w:rsidR="00EA5DB2" w:rsidRPr="00FA18B8">
        <w:t xml:space="preserve"> m. – </w:t>
      </w:r>
      <w:r w:rsidR="00FA18B8">
        <w:t>9</w:t>
      </w:r>
      <w:r w:rsidRPr="00FA18B8">
        <w:t xml:space="preserve">). </w:t>
      </w:r>
    </w:p>
    <w:p w:rsidR="00010A2D" w:rsidRPr="00630125" w:rsidRDefault="00010A2D" w:rsidP="00A01088">
      <w:pPr>
        <w:ind w:firstLine="600"/>
        <w:jc w:val="left"/>
        <w:rPr>
          <w:i/>
        </w:rPr>
      </w:pPr>
    </w:p>
    <w:p w:rsidR="00010A2D" w:rsidRPr="00FA18B8" w:rsidRDefault="00010A2D" w:rsidP="00A01088">
      <w:pPr>
        <w:tabs>
          <w:tab w:val="left" w:pos="0"/>
        </w:tabs>
        <w:jc w:val="left"/>
        <w:rPr>
          <w:b/>
        </w:rPr>
      </w:pPr>
      <w:r w:rsidRPr="00FA18B8">
        <w:rPr>
          <w:b/>
        </w:rPr>
        <w:t>201</w:t>
      </w:r>
      <w:r w:rsidR="00FA18B8" w:rsidRPr="00FA18B8">
        <w:rPr>
          <w:b/>
        </w:rPr>
        <w:t>5</w:t>
      </w:r>
      <w:r w:rsidRPr="00FA18B8">
        <w:rPr>
          <w:b/>
        </w:rPr>
        <w:t xml:space="preserve"> METAIS RIETAVO SAVIVALDYBĖS TARYBOS SPRENDIMAIS PATVIRTINTOS PROGRAMOS, PLANAI, NUOSTATAI, </w:t>
      </w:r>
      <w:r w:rsidR="00F32790" w:rsidRPr="00FA18B8">
        <w:rPr>
          <w:b/>
        </w:rPr>
        <w:t xml:space="preserve">DARBO REGLAMENTAS, </w:t>
      </w:r>
      <w:r w:rsidRPr="00FA18B8">
        <w:rPr>
          <w:b/>
        </w:rPr>
        <w:t>TVARKOS, TAISYKLĖS IR ATASKAITOS</w:t>
      </w:r>
    </w:p>
    <w:p w:rsidR="00010A2D" w:rsidRPr="00630125" w:rsidRDefault="00010A2D" w:rsidP="00A01088">
      <w:pPr>
        <w:jc w:val="left"/>
        <w:rPr>
          <w:bCs/>
          <w:i/>
          <w:outline/>
        </w:rPr>
      </w:pPr>
    </w:p>
    <w:p w:rsidR="00010A2D" w:rsidRPr="00621946" w:rsidRDefault="00010A2D" w:rsidP="00A01088">
      <w:pPr>
        <w:jc w:val="left"/>
        <w:rPr>
          <w:b/>
        </w:rPr>
      </w:pPr>
      <w:r w:rsidRPr="00621946">
        <w:rPr>
          <w:b/>
        </w:rPr>
        <w:t>P</w:t>
      </w:r>
      <w:r w:rsidR="00372884" w:rsidRPr="00621946">
        <w:rPr>
          <w:b/>
        </w:rPr>
        <w:t>atvirtintos</w:t>
      </w:r>
      <w:r w:rsidRPr="00621946">
        <w:rPr>
          <w:b/>
        </w:rPr>
        <w:t xml:space="preserve"> programos:</w:t>
      </w:r>
    </w:p>
    <w:p w:rsidR="003D2D08" w:rsidRPr="00621946" w:rsidRDefault="0087047E" w:rsidP="00A01088">
      <w:pPr>
        <w:ind w:firstLine="680"/>
        <w:jc w:val="left"/>
      </w:pPr>
      <w:r w:rsidRPr="00621946">
        <w:t xml:space="preserve">Rietavo savivaldybės </w:t>
      </w:r>
      <w:r w:rsidR="003D2D08" w:rsidRPr="00621946">
        <w:t>administracijos seniūnijų 201</w:t>
      </w:r>
      <w:r w:rsidR="00621946" w:rsidRPr="00621946">
        <w:t>5</w:t>
      </w:r>
      <w:r w:rsidR="003D2D08" w:rsidRPr="00621946">
        <w:t>-201</w:t>
      </w:r>
      <w:r w:rsidR="00621946" w:rsidRPr="00621946">
        <w:t>7</w:t>
      </w:r>
      <w:r w:rsidR="003D2D08" w:rsidRPr="00621946">
        <w:t xml:space="preserve"> metų veiklos programos;</w:t>
      </w:r>
    </w:p>
    <w:p w:rsidR="00621946" w:rsidRDefault="00621946" w:rsidP="00A01088">
      <w:pPr>
        <w:ind w:firstLine="680"/>
        <w:jc w:val="left"/>
      </w:pPr>
      <w:r>
        <w:t>Rietavo savivaldybės korupcijos prevencijos 2015-2017 metų programa;</w:t>
      </w:r>
    </w:p>
    <w:p w:rsidR="00312D8B" w:rsidRPr="00621946" w:rsidRDefault="00312D8B" w:rsidP="00A01088">
      <w:pPr>
        <w:ind w:firstLine="680"/>
        <w:jc w:val="left"/>
      </w:pPr>
      <w:r w:rsidRPr="00621946">
        <w:t xml:space="preserve">Savivaldybės tarybos </w:t>
      </w:r>
      <w:r w:rsidR="00621946" w:rsidRPr="00621946">
        <w:t>K</w:t>
      </w:r>
      <w:r w:rsidRPr="00621946">
        <w:t>ontrolės komiteto 201</w:t>
      </w:r>
      <w:r w:rsidR="00621946" w:rsidRPr="00621946">
        <w:t>5</w:t>
      </w:r>
      <w:r w:rsidRPr="00621946">
        <w:t xml:space="preserve"> m. antrojo pusmečio veiklos programa;</w:t>
      </w:r>
    </w:p>
    <w:p w:rsidR="00312D8B" w:rsidRPr="00621946" w:rsidRDefault="00312D8B" w:rsidP="00A01088">
      <w:pPr>
        <w:ind w:firstLine="680"/>
        <w:jc w:val="left"/>
      </w:pPr>
      <w:r w:rsidRPr="00621946">
        <w:t xml:space="preserve">Savivaldybės tarybos </w:t>
      </w:r>
      <w:r w:rsidR="00621946" w:rsidRPr="00621946">
        <w:t>K</w:t>
      </w:r>
      <w:r w:rsidRPr="00621946">
        <w:t>ontrolės komiteto 201</w:t>
      </w:r>
      <w:r w:rsidR="00621946" w:rsidRPr="00621946">
        <w:t>6</w:t>
      </w:r>
      <w:r w:rsidRPr="00621946">
        <w:t xml:space="preserve"> m. pirmojo pusmečio veiklos programa;</w:t>
      </w:r>
    </w:p>
    <w:p w:rsidR="0087047E" w:rsidRPr="00621946" w:rsidRDefault="003D2D08" w:rsidP="00A01088">
      <w:pPr>
        <w:ind w:firstLine="680"/>
        <w:jc w:val="left"/>
      </w:pPr>
      <w:r w:rsidRPr="00621946">
        <w:t xml:space="preserve">Rietavo savivaldybės </w:t>
      </w:r>
      <w:r w:rsidR="0087047E" w:rsidRPr="00621946">
        <w:t>mokyklų mokytojų ir pagalbos mokiniui specialistų 201</w:t>
      </w:r>
      <w:r w:rsidR="00621946" w:rsidRPr="00621946">
        <w:t>6</w:t>
      </w:r>
      <w:r w:rsidR="0087047E" w:rsidRPr="00621946">
        <w:t>-201</w:t>
      </w:r>
      <w:r w:rsidR="00621946" w:rsidRPr="00621946">
        <w:t>8</w:t>
      </w:r>
      <w:r w:rsidR="0087047E" w:rsidRPr="00621946">
        <w:t xml:space="preserve"> metų atestacijos programa;</w:t>
      </w:r>
    </w:p>
    <w:p w:rsidR="0087047E" w:rsidRPr="00621946" w:rsidRDefault="00312D8B" w:rsidP="00A01088">
      <w:pPr>
        <w:ind w:firstLine="680"/>
        <w:jc w:val="left"/>
      </w:pPr>
      <w:r w:rsidRPr="00621946">
        <w:t>201</w:t>
      </w:r>
      <w:r w:rsidR="00621946" w:rsidRPr="00621946">
        <w:t>6</w:t>
      </w:r>
      <w:r w:rsidRPr="00621946">
        <w:t xml:space="preserve"> metų viešųjų darbų programa</w:t>
      </w:r>
      <w:r w:rsidR="0087047E" w:rsidRPr="00621946">
        <w:t>;</w:t>
      </w:r>
    </w:p>
    <w:p w:rsidR="0087047E" w:rsidRPr="00621946" w:rsidRDefault="0087047E" w:rsidP="00A01088">
      <w:pPr>
        <w:widowControl w:val="0"/>
        <w:suppressAutoHyphens/>
        <w:ind w:firstLine="680"/>
        <w:jc w:val="left"/>
        <w:outlineLvl w:val="0"/>
        <w:rPr>
          <w:bCs/>
        </w:rPr>
      </w:pPr>
      <w:r w:rsidRPr="00621946">
        <w:rPr>
          <w:bCs/>
        </w:rPr>
        <w:t>Rietavo savivaldybės 201</w:t>
      </w:r>
      <w:r w:rsidR="00621946" w:rsidRPr="00621946">
        <w:rPr>
          <w:bCs/>
        </w:rPr>
        <w:t>5</w:t>
      </w:r>
      <w:r w:rsidRPr="00621946">
        <w:rPr>
          <w:bCs/>
        </w:rPr>
        <w:t>-201</w:t>
      </w:r>
      <w:r w:rsidR="00621946" w:rsidRPr="00621946">
        <w:rPr>
          <w:bCs/>
        </w:rPr>
        <w:t>7</w:t>
      </w:r>
      <w:r w:rsidRPr="00621946">
        <w:rPr>
          <w:bCs/>
        </w:rPr>
        <w:t xml:space="preserve"> metų seniūnijų veiklos programų patikslinimas.</w:t>
      </w:r>
    </w:p>
    <w:p w:rsidR="00DA4E26" w:rsidRPr="00DB262B" w:rsidRDefault="00010A2D" w:rsidP="00A01088">
      <w:pPr>
        <w:jc w:val="left"/>
        <w:rPr>
          <w:b/>
          <w:color w:val="3366FF"/>
        </w:rPr>
      </w:pPr>
      <w:r w:rsidRPr="00DB262B">
        <w:rPr>
          <w:b/>
          <w:color w:val="3366FF"/>
        </w:rPr>
        <w:t xml:space="preserve">          </w:t>
      </w:r>
    </w:p>
    <w:p w:rsidR="00010A2D" w:rsidRPr="00DB262B" w:rsidRDefault="00010A2D" w:rsidP="00A01088">
      <w:pPr>
        <w:jc w:val="left"/>
        <w:rPr>
          <w:b/>
        </w:rPr>
      </w:pPr>
      <w:r w:rsidRPr="00DB262B">
        <w:rPr>
          <w:b/>
        </w:rPr>
        <w:t>Patvirtinti planai:</w:t>
      </w:r>
    </w:p>
    <w:p w:rsidR="00010A2D" w:rsidRPr="00621946" w:rsidRDefault="00010A2D" w:rsidP="00A01088">
      <w:pPr>
        <w:widowControl w:val="0"/>
        <w:suppressAutoHyphens/>
        <w:ind w:firstLine="680"/>
        <w:jc w:val="left"/>
        <w:outlineLvl w:val="0"/>
        <w:rPr>
          <w:bCs/>
        </w:rPr>
      </w:pPr>
      <w:r w:rsidRPr="00621946">
        <w:rPr>
          <w:bCs/>
        </w:rPr>
        <w:t>Rietavo savivaldybės 201</w:t>
      </w:r>
      <w:r w:rsidR="00621946" w:rsidRPr="00621946">
        <w:rPr>
          <w:bCs/>
        </w:rPr>
        <w:t>5</w:t>
      </w:r>
      <w:r w:rsidRPr="00621946">
        <w:rPr>
          <w:bCs/>
        </w:rPr>
        <w:t>–201</w:t>
      </w:r>
      <w:r w:rsidR="00621946" w:rsidRPr="00621946">
        <w:rPr>
          <w:bCs/>
        </w:rPr>
        <w:t>7</w:t>
      </w:r>
      <w:r w:rsidRPr="00621946">
        <w:rPr>
          <w:bCs/>
        </w:rPr>
        <w:t xml:space="preserve"> metų strateginis veiklos planas;</w:t>
      </w:r>
    </w:p>
    <w:p w:rsidR="00621946" w:rsidRDefault="00621946" w:rsidP="00A01088">
      <w:pPr>
        <w:widowControl w:val="0"/>
        <w:suppressAutoHyphens/>
        <w:ind w:firstLine="680"/>
        <w:jc w:val="left"/>
        <w:outlineLvl w:val="0"/>
        <w:rPr>
          <w:bCs/>
        </w:rPr>
      </w:pPr>
      <w:r>
        <w:rPr>
          <w:bCs/>
        </w:rPr>
        <w:t>Rietavo savivaldybės 2014-2020 metų atliekų tvarkymo planas;</w:t>
      </w:r>
    </w:p>
    <w:p w:rsidR="00621946" w:rsidRDefault="00621946" w:rsidP="00A01088">
      <w:pPr>
        <w:widowControl w:val="0"/>
        <w:suppressAutoHyphens/>
        <w:ind w:firstLine="680"/>
        <w:jc w:val="left"/>
        <w:outlineLvl w:val="0"/>
        <w:rPr>
          <w:bCs/>
        </w:rPr>
      </w:pPr>
      <w:r>
        <w:rPr>
          <w:bCs/>
        </w:rPr>
        <w:t xml:space="preserve">Rietavo savivaldybės gyvenamųjų vietovių (kaimų, gyvenviečių), miesto ir seniūnijų ribų, </w:t>
      </w:r>
      <w:r>
        <w:rPr>
          <w:bCs/>
        </w:rPr>
        <w:lastRenderedPageBreak/>
        <w:t>ploto nustatymo ir patvirtinimo planas;</w:t>
      </w:r>
    </w:p>
    <w:p w:rsidR="00621946" w:rsidRPr="00621946" w:rsidRDefault="00621946" w:rsidP="00A01088">
      <w:pPr>
        <w:widowControl w:val="0"/>
        <w:suppressAutoHyphens/>
        <w:ind w:firstLine="680"/>
        <w:jc w:val="left"/>
        <w:outlineLvl w:val="0"/>
      </w:pPr>
      <w:r w:rsidRPr="00621946">
        <w:t>Rietavo savivaldybės 2015 metų socialinių paslaugų planas;</w:t>
      </w:r>
    </w:p>
    <w:p w:rsidR="00621946" w:rsidRPr="00621946" w:rsidRDefault="00621946" w:rsidP="00A01088">
      <w:pPr>
        <w:widowControl w:val="0"/>
        <w:suppressAutoHyphens/>
        <w:ind w:firstLine="680"/>
        <w:jc w:val="left"/>
        <w:outlineLvl w:val="0"/>
      </w:pPr>
      <w:r w:rsidRPr="00621946">
        <w:t>Rietavo savivaldybės tarybos 2015 metų antrojo pusmečio darbo planas;</w:t>
      </w:r>
    </w:p>
    <w:p w:rsidR="00621946" w:rsidRPr="00621946" w:rsidRDefault="00621946" w:rsidP="00A01088">
      <w:pPr>
        <w:widowControl w:val="0"/>
        <w:suppressAutoHyphens/>
        <w:ind w:firstLine="680"/>
        <w:jc w:val="left"/>
        <w:outlineLvl w:val="0"/>
      </w:pPr>
      <w:r w:rsidRPr="00621946">
        <w:rPr>
          <w:bCs/>
        </w:rPr>
        <w:t>Rietavo savivaldybės 201</w:t>
      </w:r>
      <w:r>
        <w:rPr>
          <w:bCs/>
        </w:rPr>
        <w:t>5</w:t>
      </w:r>
      <w:r w:rsidRPr="00621946">
        <w:rPr>
          <w:bCs/>
        </w:rPr>
        <w:t>–201</w:t>
      </w:r>
      <w:r>
        <w:rPr>
          <w:bCs/>
        </w:rPr>
        <w:t>7</w:t>
      </w:r>
      <w:r w:rsidRPr="00621946">
        <w:rPr>
          <w:bCs/>
        </w:rPr>
        <w:t xml:space="preserve"> metų strateginio veiklos plano patikslinimas;</w:t>
      </w:r>
    </w:p>
    <w:p w:rsidR="00621946" w:rsidRPr="00621946" w:rsidRDefault="00621946" w:rsidP="00A01088">
      <w:pPr>
        <w:widowControl w:val="0"/>
        <w:suppressAutoHyphens/>
        <w:ind w:firstLine="680"/>
        <w:jc w:val="left"/>
        <w:outlineLvl w:val="0"/>
      </w:pPr>
      <w:r w:rsidRPr="00621946">
        <w:t>Rietavo savivaldybės tarybos 2016 metų pirmojo pusmečio darbo planas</w:t>
      </w:r>
      <w:r>
        <w:t>.</w:t>
      </w:r>
    </w:p>
    <w:p w:rsidR="00010A2D" w:rsidRPr="00630125" w:rsidRDefault="00010A2D" w:rsidP="00A01088">
      <w:pPr>
        <w:widowControl w:val="0"/>
        <w:suppressAutoHyphens/>
        <w:ind w:firstLine="680"/>
        <w:jc w:val="left"/>
        <w:outlineLvl w:val="0"/>
        <w:rPr>
          <w:i/>
          <w:color w:val="3366FF"/>
        </w:rPr>
      </w:pPr>
    </w:p>
    <w:p w:rsidR="00010A2D" w:rsidRPr="00DB262B" w:rsidRDefault="00DB262B" w:rsidP="00A01088">
      <w:pPr>
        <w:widowControl w:val="0"/>
        <w:suppressAutoHyphens/>
        <w:ind w:firstLine="0"/>
        <w:jc w:val="left"/>
        <w:outlineLvl w:val="0"/>
        <w:rPr>
          <w:b/>
        </w:rPr>
      </w:pPr>
      <w:r>
        <w:rPr>
          <w:b/>
          <w:color w:val="3366FF"/>
        </w:rPr>
        <w:t xml:space="preserve">           </w:t>
      </w:r>
      <w:r w:rsidR="00010A2D" w:rsidRPr="00DB262B">
        <w:rPr>
          <w:b/>
          <w:color w:val="3366FF"/>
        </w:rPr>
        <w:t xml:space="preserve"> </w:t>
      </w:r>
      <w:r w:rsidR="00010A2D" w:rsidRPr="00DB262B">
        <w:rPr>
          <w:b/>
        </w:rPr>
        <w:t>Patvirtinti nuostatai</w:t>
      </w:r>
      <w:r w:rsidR="00F32790" w:rsidRPr="00DB262B">
        <w:rPr>
          <w:b/>
        </w:rPr>
        <w:t>, darbo reglamentas</w:t>
      </w:r>
      <w:r w:rsidR="00010A2D" w:rsidRPr="00DB262B">
        <w:rPr>
          <w:b/>
        </w:rPr>
        <w:t>:</w:t>
      </w:r>
    </w:p>
    <w:p w:rsidR="00DB262B" w:rsidRDefault="00010A2D" w:rsidP="00A01088">
      <w:pPr>
        <w:widowControl w:val="0"/>
        <w:suppressAutoHyphens/>
        <w:ind w:firstLine="0"/>
        <w:jc w:val="left"/>
        <w:outlineLvl w:val="0"/>
      </w:pPr>
      <w:r w:rsidRPr="00630125">
        <w:rPr>
          <w:i/>
        </w:rPr>
        <w:t xml:space="preserve">            </w:t>
      </w:r>
      <w:r w:rsidR="00DB262B">
        <w:t>Rietavo savivaldybės sporto tarybos sudarymas ir jos veiklos nuostatai;</w:t>
      </w:r>
    </w:p>
    <w:p w:rsidR="00DB262B" w:rsidRDefault="00DB262B" w:rsidP="00A01088">
      <w:pPr>
        <w:widowControl w:val="0"/>
        <w:suppressAutoHyphens/>
        <w:ind w:firstLine="0"/>
        <w:jc w:val="left"/>
        <w:outlineLvl w:val="0"/>
      </w:pPr>
      <w:r>
        <w:t xml:space="preserve">            Rietavo savivaldybės privatizavimo komisijos sudarymas ir jos veiklos nuostatai;</w:t>
      </w:r>
    </w:p>
    <w:p w:rsidR="00DB262B" w:rsidRDefault="00DB262B" w:rsidP="00A01088">
      <w:pPr>
        <w:widowControl w:val="0"/>
        <w:suppressAutoHyphens/>
        <w:ind w:firstLine="0"/>
        <w:jc w:val="left"/>
        <w:outlineLvl w:val="0"/>
      </w:pPr>
      <w:r>
        <w:t xml:space="preserve">            Rietavo savivaldybės Garbės piliečio vardo suteikimo komisijos sudarymas ir jos veiklos nuostatai; </w:t>
      </w:r>
    </w:p>
    <w:p w:rsidR="00DB262B" w:rsidRDefault="00DB262B" w:rsidP="00A01088">
      <w:pPr>
        <w:widowControl w:val="0"/>
        <w:suppressAutoHyphens/>
        <w:ind w:firstLine="0"/>
        <w:jc w:val="left"/>
        <w:outlineLvl w:val="0"/>
      </w:pPr>
      <w:r>
        <w:t xml:space="preserve">            Rietavo savivaldybės antikorupcijos komisijos nuostatai;</w:t>
      </w:r>
    </w:p>
    <w:p w:rsidR="00DB262B" w:rsidRDefault="00DB262B" w:rsidP="00A01088">
      <w:pPr>
        <w:widowControl w:val="0"/>
        <w:suppressAutoHyphens/>
        <w:ind w:firstLine="0"/>
        <w:jc w:val="left"/>
        <w:outlineLvl w:val="0"/>
      </w:pPr>
      <w:r>
        <w:t xml:space="preserve">            Rietavo savivaldybės sporto klubų rėmimo nuostatai;</w:t>
      </w:r>
    </w:p>
    <w:p w:rsidR="00DB262B" w:rsidRDefault="00DB262B" w:rsidP="00A01088">
      <w:pPr>
        <w:widowControl w:val="0"/>
        <w:suppressAutoHyphens/>
        <w:ind w:firstLine="0"/>
        <w:jc w:val="left"/>
        <w:outlineLvl w:val="0"/>
      </w:pPr>
      <w:r>
        <w:t xml:space="preserve">            Vienkartinių pašalpų skyrimo komisijos sudarymas ir jos veiklos nuostatai;</w:t>
      </w:r>
    </w:p>
    <w:p w:rsidR="00DB262B" w:rsidRDefault="00DB262B" w:rsidP="00A01088">
      <w:pPr>
        <w:widowControl w:val="0"/>
        <w:suppressAutoHyphens/>
        <w:ind w:firstLine="0"/>
        <w:jc w:val="left"/>
        <w:outlineLvl w:val="0"/>
      </w:pPr>
      <w:r>
        <w:t xml:space="preserve">            Rietavo savivaldybės tarybos veiklos reglamentas.</w:t>
      </w:r>
    </w:p>
    <w:p w:rsidR="00010A2D" w:rsidRPr="00630125" w:rsidRDefault="00010A2D" w:rsidP="00A01088">
      <w:pPr>
        <w:widowControl w:val="0"/>
        <w:suppressAutoHyphens/>
        <w:jc w:val="left"/>
        <w:rPr>
          <w:b/>
          <w:i/>
        </w:rPr>
      </w:pPr>
    </w:p>
    <w:p w:rsidR="00010A2D" w:rsidRPr="00DB262B" w:rsidRDefault="00010A2D" w:rsidP="00A01088">
      <w:pPr>
        <w:widowControl w:val="0"/>
        <w:suppressAutoHyphens/>
        <w:jc w:val="left"/>
        <w:rPr>
          <w:b/>
        </w:rPr>
      </w:pPr>
      <w:r w:rsidRPr="00DB262B">
        <w:rPr>
          <w:b/>
        </w:rPr>
        <w:t>P</w:t>
      </w:r>
      <w:r w:rsidR="00A93E2C" w:rsidRPr="00DB262B">
        <w:rPr>
          <w:b/>
        </w:rPr>
        <w:t>atvirtin</w:t>
      </w:r>
      <w:r w:rsidRPr="00DB262B">
        <w:rPr>
          <w:b/>
        </w:rPr>
        <w:t>tos tvarkos, tvark</w:t>
      </w:r>
      <w:r w:rsidR="00870420" w:rsidRPr="00DB262B">
        <w:rPr>
          <w:b/>
        </w:rPr>
        <w:t>ų</w:t>
      </w:r>
      <w:r w:rsidRPr="00DB262B">
        <w:rPr>
          <w:b/>
        </w:rPr>
        <w:t xml:space="preserve"> aprašai ir taisyklės:</w:t>
      </w:r>
    </w:p>
    <w:p w:rsidR="00F11E05" w:rsidRDefault="00F11E05" w:rsidP="00A01088">
      <w:pPr>
        <w:widowControl w:val="0"/>
        <w:suppressAutoHyphens/>
        <w:ind w:firstLine="680"/>
        <w:jc w:val="left"/>
      </w:pPr>
      <w:r>
        <w:t>Rietavo savivaldybės butų ir kitų patalpų savininkų bendrijų valdymo organų, jungtinės veiklos sutartimi įgaliotų asmenų ir Savivaldybės vykdomosios institucijos paskirtų bendrojo naudojimo objektų administratorių veiklos, susijusios su įstatymų ir kitų teisės aktų jiems priskirtų funkcijų vykdymu, priežiūros ir kontrolės taikylės;</w:t>
      </w:r>
    </w:p>
    <w:p w:rsidR="00F11E05" w:rsidRDefault="00F11E05" w:rsidP="00A01088">
      <w:pPr>
        <w:widowControl w:val="0"/>
        <w:suppressAutoHyphens/>
        <w:ind w:firstLine="680"/>
        <w:jc w:val="left"/>
      </w:pPr>
      <w:r>
        <w:t>Rietavo savivaldybei nuosavybės teise priklausančio turto valdymo, naudojimo ir disponavimo juo atskaitos rengimo ir teikimo tvarkos aprašas;</w:t>
      </w:r>
    </w:p>
    <w:p w:rsidR="00F11E05" w:rsidRDefault="00F11E05" w:rsidP="00A01088">
      <w:pPr>
        <w:widowControl w:val="0"/>
        <w:suppressAutoHyphens/>
        <w:ind w:firstLine="680"/>
        <w:jc w:val="left"/>
      </w:pPr>
      <w:r>
        <w:t>Savivaldybės būsto ir socialinio būsto nuomos tvarkos aprašas;</w:t>
      </w:r>
    </w:p>
    <w:p w:rsidR="00F11E05" w:rsidRDefault="00F11E05" w:rsidP="00A01088">
      <w:pPr>
        <w:widowControl w:val="0"/>
        <w:suppressAutoHyphens/>
        <w:ind w:firstLine="680"/>
        <w:jc w:val="left"/>
      </w:pPr>
      <w:r>
        <w:t>Rietavo savivaldybėje esančių pastatų ir statinių, kurie yra neprižiūrimi, apleisti ir nenaudojami arba naudojami ne pagal paskirtį, sąrašo sudarymo ir keitimo tvarkos aprašas;</w:t>
      </w:r>
    </w:p>
    <w:p w:rsidR="00F11E05" w:rsidRDefault="00F11E05" w:rsidP="00A01088">
      <w:pPr>
        <w:widowControl w:val="0"/>
        <w:suppressAutoHyphens/>
        <w:ind w:firstLine="680"/>
        <w:jc w:val="left"/>
      </w:pPr>
      <w:r>
        <w:t>Mokesčio už naudojimąsi Rietavo savivaldybės vietinės reikšmės viešaisiais keliais didžiagabaritėmis ir (ar) sunkiasvorėmis transporto priemonėmis ar jų junginiais dydžių nustatymo ir mokesčio mokėjimo, administravimo, priežiūros ir leidimų išdavimo tvarkos aprašas;</w:t>
      </w:r>
    </w:p>
    <w:p w:rsidR="00F11E05" w:rsidRDefault="00F11E05" w:rsidP="00A01088">
      <w:pPr>
        <w:widowControl w:val="0"/>
        <w:suppressAutoHyphens/>
        <w:ind w:firstLine="680"/>
        <w:jc w:val="left"/>
      </w:pPr>
      <w:r>
        <w:t>Rietavo savivaldybės kaimo teritorijų vystymo ir žemės ūkio plėtros programos paramos žemės ūkiui teikimo taisyklės;</w:t>
      </w:r>
    </w:p>
    <w:p w:rsidR="00F11E05" w:rsidRDefault="00F11E05" w:rsidP="00A01088">
      <w:pPr>
        <w:widowControl w:val="0"/>
        <w:suppressAutoHyphens/>
        <w:ind w:firstLine="680"/>
        <w:jc w:val="left"/>
      </w:pPr>
      <w:r>
        <w:t xml:space="preserve"> Rietavo savivaldybės skolinimosi tvarka;</w:t>
      </w:r>
    </w:p>
    <w:p w:rsidR="00F11E05" w:rsidRDefault="00F11E05" w:rsidP="00A01088">
      <w:pPr>
        <w:widowControl w:val="0"/>
        <w:suppressAutoHyphens/>
        <w:ind w:firstLine="680"/>
        <w:jc w:val="left"/>
      </w:pPr>
      <w:r>
        <w:t>Apmokėjimo už pagrindinės sesijos valstybinių ir mokyklinių egzaminų vykdymą, mokyklinių brandos egzaminų kandidatų darbų vertinimą ir apeliacijų nagrinėjimą, pakartotinės sesijos valstybinių ir mokyklinių  brandos egzaminų vykdymą, kandidatų darbų vertinimą ir apeliacijų nagrinėjimą tvarkos aprašas;</w:t>
      </w:r>
    </w:p>
    <w:p w:rsidR="00F11E05" w:rsidRDefault="00F11E05" w:rsidP="00A01088">
      <w:pPr>
        <w:widowControl w:val="0"/>
        <w:suppressAutoHyphens/>
        <w:ind w:firstLine="680"/>
        <w:jc w:val="left"/>
      </w:pPr>
      <w:r>
        <w:t>Rietavo savivaldybės būsto nuomos ar išperkamosios būsto nuomos mokesčių dalies kompensacijų mokėjimo ir permokėtų kompensacijų grąžinimo tvarkos aprašas;</w:t>
      </w:r>
    </w:p>
    <w:p w:rsidR="00B75565" w:rsidRDefault="00B75565" w:rsidP="00A01088">
      <w:pPr>
        <w:widowControl w:val="0"/>
        <w:suppressAutoHyphens/>
        <w:ind w:firstLine="680"/>
        <w:jc w:val="left"/>
      </w:pPr>
      <w:r>
        <w:t>Rietavo savivaldybės daugiabučių gyvenamųjų namų bendrojo naudojimo objektų administravimo maksimalaus tarifo apskaičiavimo tvarkos aprašas;</w:t>
      </w:r>
    </w:p>
    <w:p w:rsidR="00B75565" w:rsidRDefault="00B75565" w:rsidP="00A01088">
      <w:pPr>
        <w:widowControl w:val="0"/>
        <w:suppressAutoHyphens/>
        <w:ind w:firstLine="680"/>
        <w:jc w:val="left"/>
      </w:pPr>
      <w:r>
        <w:t>Licencijų verstis mažmenine prekyba alkoholiniais gėrimais išdavimo tvarkos aprašas;</w:t>
      </w:r>
    </w:p>
    <w:p w:rsidR="00B75565" w:rsidRDefault="00B75565" w:rsidP="00A01088">
      <w:pPr>
        <w:widowControl w:val="0"/>
        <w:suppressAutoHyphens/>
        <w:ind w:firstLine="680"/>
        <w:jc w:val="left"/>
      </w:pPr>
      <w:r>
        <w:t>Rietavo savivaldybės neformaliojo vaikų švietimo lėšų skyrimo ir naudojimo 2015 metais tvarkos aprašas;</w:t>
      </w:r>
    </w:p>
    <w:p w:rsidR="00B75565" w:rsidRDefault="00B75565" w:rsidP="00A01088">
      <w:pPr>
        <w:widowControl w:val="0"/>
        <w:suppressAutoHyphens/>
        <w:ind w:firstLine="680"/>
        <w:jc w:val="left"/>
      </w:pPr>
      <w:r>
        <w:t>Rietavo savivaldybės teritorijoje esančių kapinių sąrašo sudarymo ir jo skelbimo Savivaldybės interneto svetainėje tvarkos aprašas;</w:t>
      </w:r>
    </w:p>
    <w:p w:rsidR="00B75565" w:rsidRDefault="00B75565" w:rsidP="00A01088">
      <w:pPr>
        <w:widowControl w:val="0"/>
        <w:suppressAutoHyphens/>
        <w:ind w:firstLine="680"/>
        <w:jc w:val="left"/>
      </w:pPr>
      <w:r>
        <w:t>Rietavo savivaldybės lėšų, gautų už parduotus valstybinės žemės sklypus, naudojimo ir apskaitos tvarkos aprašas;</w:t>
      </w:r>
    </w:p>
    <w:p w:rsidR="00B75565" w:rsidRDefault="00B75565" w:rsidP="00A01088">
      <w:pPr>
        <w:widowControl w:val="0"/>
        <w:suppressAutoHyphens/>
        <w:ind w:firstLine="680"/>
        <w:jc w:val="left"/>
      </w:pPr>
      <w:r>
        <w:t>Rietavo savivaldybės visuomenės sveikatos rėmimo specialiosios programos pajamų ir išlaidų planavimo, sudarymo ir vykdymo tvarkos aprašas;</w:t>
      </w:r>
    </w:p>
    <w:p w:rsidR="00B75565" w:rsidRDefault="00B75565" w:rsidP="00A01088">
      <w:pPr>
        <w:widowControl w:val="0"/>
        <w:suppressAutoHyphens/>
        <w:ind w:firstLine="680"/>
        <w:jc w:val="left"/>
      </w:pPr>
      <w:r>
        <w:t>Rietavo savivaldybės būsto ir pagalbinio ūkio paskirties pastatų įkeitimo tvarkos aprašas;</w:t>
      </w:r>
    </w:p>
    <w:p w:rsidR="007F0D9C" w:rsidRPr="00630125" w:rsidRDefault="00B75565" w:rsidP="00A01088">
      <w:pPr>
        <w:widowControl w:val="0"/>
        <w:suppressAutoHyphens/>
        <w:ind w:firstLine="680"/>
        <w:jc w:val="left"/>
        <w:rPr>
          <w:i/>
        </w:rPr>
      </w:pPr>
      <w:r>
        <w:t xml:space="preserve">Rietavo savivaldybės apmokėjimo už maitinimą mokinių, gyvenančių bendrojo lavinimo mokyklos bendrabutyje, tvarkos aprašas. </w:t>
      </w:r>
    </w:p>
    <w:p w:rsidR="00B75565" w:rsidRDefault="00B75565" w:rsidP="00A01088">
      <w:pPr>
        <w:ind w:firstLine="0"/>
        <w:jc w:val="left"/>
        <w:rPr>
          <w:bCs/>
          <w:i/>
        </w:rPr>
      </w:pPr>
    </w:p>
    <w:p w:rsidR="00010A2D" w:rsidRPr="00B75565" w:rsidRDefault="00B75565" w:rsidP="00A01088">
      <w:pPr>
        <w:ind w:firstLine="0"/>
        <w:jc w:val="left"/>
        <w:rPr>
          <w:b/>
        </w:rPr>
      </w:pPr>
      <w:r>
        <w:rPr>
          <w:bCs/>
          <w:i/>
        </w:rPr>
        <w:t xml:space="preserve">         </w:t>
      </w:r>
      <w:r w:rsidR="00010A2D" w:rsidRPr="00630125">
        <w:rPr>
          <w:b/>
          <w:i/>
        </w:rPr>
        <w:t xml:space="preserve">  </w:t>
      </w:r>
      <w:r w:rsidR="00010A2D" w:rsidRPr="00B75565">
        <w:rPr>
          <w:b/>
        </w:rPr>
        <w:t>Pritarta ataskaitoms:</w:t>
      </w:r>
    </w:p>
    <w:p w:rsidR="005B40E2" w:rsidRDefault="005B40E2" w:rsidP="00A01088">
      <w:pPr>
        <w:ind w:firstLine="680"/>
        <w:jc w:val="left"/>
        <w:rPr>
          <w:bCs/>
        </w:rPr>
      </w:pPr>
      <w:r>
        <w:rPr>
          <w:bCs/>
        </w:rPr>
        <w:t>Rietavo savivaldybės tarybos ir mero 2014 metų veiklos ataskaitai;</w:t>
      </w:r>
    </w:p>
    <w:p w:rsidR="005B40E2" w:rsidRPr="005B40E2" w:rsidRDefault="005B40E2" w:rsidP="00A01088">
      <w:pPr>
        <w:ind w:firstLine="680"/>
        <w:jc w:val="left"/>
        <w:rPr>
          <w:bCs/>
        </w:rPr>
      </w:pPr>
      <w:r w:rsidRPr="005B40E2">
        <w:rPr>
          <w:bCs/>
        </w:rPr>
        <w:t>Rietavo savivaldybės administracijos direktoriaus 201</w:t>
      </w:r>
      <w:r>
        <w:rPr>
          <w:bCs/>
        </w:rPr>
        <w:t>4</w:t>
      </w:r>
      <w:r w:rsidRPr="005B40E2">
        <w:rPr>
          <w:bCs/>
        </w:rPr>
        <w:t xml:space="preserve"> metų veiklos ataskaitai;</w:t>
      </w:r>
    </w:p>
    <w:p w:rsidR="00E338E2" w:rsidRDefault="00E338E2" w:rsidP="00A01088">
      <w:pPr>
        <w:ind w:firstLine="680"/>
        <w:jc w:val="left"/>
        <w:rPr>
          <w:bCs/>
        </w:rPr>
      </w:pPr>
      <w:r w:rsidRPr="005B40E2">
        <w:rPr>
          <w:bCs/>
        </w:rPr>
        <w:t>Rietavo savivaldybės visuomenės sveikatos stebėsenos 2012-2014 m. programos 201</w:t>
      </w:r>
      <w:r w:rsidR="005B40E2" w:rsidRPr="005B40E2">
        <w:rPr>
          <w:bCs/>
        </w:rPr>
        <w:t>4</w:t>
      </w:r>
      <w:r w:rsidRPr="005B40E2">
        <w:rPr>
          <w:bCs/>
        </w:rPr>
        <w:t xml:space="preserve"> metų ataskaitai;</w:t>
      </w:r>
    </w:p>
    <w:p w:rsidR="005B40E2" w:rsidRDefault="005B40E2" w:rsidP="00A01088">
      <w:pPr>
        <w:ind w:firstLine="680"/>
        <w:jc w:val="left"/>
        <w:rPr>
          <w:bCs/>
        </w:rPr>
      </w:pPr>
      <w:r>
        <w:rPr>
          <w:bCs/>
        </w:rPr>
        <w:t>Rietavo savivaldybės vykdomų visuomenės sveikatos priežiūros funkcijų įgyvendinimo 2014 metų ataskaitai;</w:t>
      </w:r>
    </w:p>
    <w:p w:rsidR="005B40E2" w:rsidRPr="005B40E2" w:rsidRDefault="005B40E2" w:rsidP="00A01088">
      <w:pPr>
        <w:ind w:firstLine="680"/>
        <w:jc w:val="left"/>
        <w:rPr>
          <w:szCs w:val="24"/>
        </w:rPr>
      </w:pPr>
      <w:r w:rsidRPr="005B40E2">
        <w:rPr>
          <w:szCs w:val="24"/>
        </w:rPr>
        <w:t>VšĮ Rietavo pirminės sveikatos priežiūros centro 2014 metų veiklos ataskaitai;</w:t>
      </w:r>
    </w:p>
    <w:p w:rsidR="005B40E2" w:rsidRPr="005B40E2" w:rsidRDefault="005B40E2" w:rsidP="00A01088">
      <w:pPr>
        <w:ind w:firstLine="680"/>
        <w:jc w:val="left"/>
        <w:rPr>
          <w:bCs/>
        </w:rPr>
      </w:pPr>
      <w:r w:rsidRPr="005B40E2">
        <w:rPr>
          <w:szCs w:val="24"/>
        </w:rPr>
        <w:t>Rietavo savivaldybės kultūros įstaigų 2014 metų veiklos ataskaitoms;</w:t>
      </w:r>
    </w:p>
    <w:p w:rsidR="007F0D9C" w:rsidRPr="005B40E2" w:rsidRDefault="007F0D9C" w:rsidP="00A01088">
      <w:pPr>
        <w:ind w:firstLine="680"/>
        <w:jc w:val="left"/>
        <w:rPr>
          <w:szCs w:val="24"/>
        </w:rPr>
      </w:pPr>
      <w:r w:rsidRPr="005B40E2">
        <w:rPr>
          <w:szCs w:val="24"/>
        </w:rPr>
        <w:t>Rietavo atviro jaunimo centro 201</w:t>
      </w:r>
      <w:r w:rsidR="005B40E2">
        <w:rPr>
          <w:szCs w:val="24"/>
        </w:rPr>
        <w:t>4</w:t>
      </w:r>
      <w:r w:rsidRPr="005B40E2">
        <w:rPr>
          <w:szCs w:val="24"/>
        </w:rPr>
        <w:t xml:space="preserve"> metų veiklos ataskaita</w:t>
      </w:r>
      <w:r w:rsidR="00AF59E6" w:rsidRPr="005B40E2">
        <w:rPr>
          <w:szCs w:val="24"/>
        </w:rPr>
        <w:t>i</w:t>
      </w:r>
      <w:r w:rsidRPr="005B40E2">
        <w:rPr>
          <w:szCs w:val="24"/>
        </w:rPr>
        <w:t>;</w:t>
      </w:r>
    </w:p>
    <w:p w:rsidR="007F0D9C" w:rsidRPr="005B40E2" w:rsidRDefault="007F0D9C" w:rsidP="00A01088">
      <w:pPr>
        <w:ind w:firstLine="680"/>
        <w:jc w:val="left"/>
        <w:rPr>
          <w:szCs w:val="24"/>
        </w:rPr>
      </w:pPr>
      <w:r w:rsidRPr="005B40E2">
        <w:rPr>
          <w:szCs w:val="24"/>
        </w:rPr>
        <w:t>Rietavo socialinių paslaugų centro 201</w:t>
      </w:r>
      <w:r w:rsidR="005B40E2" w:rsidRPr="005B40E2">
        <w:rPr>
          <w:szCs w:val="24"/>
        </w:rPr>
        <w:t>4</w:t>
      </w:r>
      <w:r w:rsidRPr="005B40E2">
        <w:rPr>
          <w:szCs w:val="24"/>
        </w:rPr>
        <w:t xml:space="preserve"> metų veiklos ataskaita</w:t>
      </w:r>
      <w:r w:rsidR="00AF59E6" w:rsidRPr="005B40E2">
        <w:rPr>
          <w:szCs w:val="24"/>
        </w:rPr>
        <w:t>i</w:t>
      </w:r>
      <w:r w:rsidRPr="005B40E2">
        <w:rPr>
          <w:szCs w:val="24"/>
        </w:rPr>
        <w:t>;</w:t>
      </w:r>
    </w:p>
    <w:p w:rsidR="00A94073" w:rsidRPr="00A94073" w:rsidRDefault="00A94073" w:rsidP="00A01088">
      <w:pPr>
        <w:ind w:firstLine="680"/>
        <w:jc w:val="left"/>
        <w:rPr>
          <w:szCs w:val="24"/>
        </w:rPr>
      </w:pPr>
      <w:r w:rsidRPr="00A94073">
        <w:rPr>
          <w:szCs w:val="24"/>
        </w:rPr>
        <w:t>Rietavo savivaldybės korupcijos prevencijos programos 2013-2014 metų įgyvendinimo ataskaitai;</w:t>
      </w:r>
    </w:p>
    <w:p w:rsidR="00FF1ECD" w:rsidRPr="00A94073" w:rsidRDefault="00FF1ECD" w:rsidP="00A01088">
      <w:pPr>
        <w:ind w:firstLine="680"/>
        <w:jc w:val="left"/>
        <w:rPr>
          <w:szCs w:val="24"/>
        </w:rPr>
      </w:pPr>
      <w:r w:rsidRPr="00A94073">
        <w:rPr>
          <w:szCs w:val="24"/>
        </w:rPr>
        <w:t xml:space="preserve">Rietavo savivaldybės </w:t>
      </w:r>
      <w:r w:rsidR="00A94073" w:rsidRPr="00A94073">
        <w:rPr>
          <w:szCs w:val="24"/>
        </w:rPr>
        <w:t>K</w:t>
      </w:r>
      <w:r w:rsidRPr="00A94073">
        <w:rPr>
          <w:szCs w:val="24"/>
        </w:rPr>
        <w:t>ontrolės ir audito tarnybos 201</w:t>
      </w:r>
      <w:r w:rsidR="00A94073" w:rsidRPr="00A94073">
        <w:rPr>
          <w:szCs w:val="24"/>
        </w:rPr>
        <w:t>4</w:t>
      </w:r>
      <w:r w:rsidRPr="00A94073">
        <w:rPr>
          <w:szCs w:val="24"/>
        </w:rPr>
        <w:t xml:space="preserve"> metų veiklos ataskaita</w:t>
      </w:r>
      <w:r w:rsidR="00AF59E6" w:rsidRPr="00A94073">
        <w:rPr>
          <w:szCs w:val="24"/>
        </w:rPr>
        <w:t>i</w:t>
      </w:r>
      <w:r w:rsidRPr="00A94073">
        <w:rPr>
          <w:szCs w:val="24"/>
        </w:rPr>
        <w:t>;</w:t>
      </w:r>
    </w:p>
    <w:p w:rsidR="00FF1ECD" w:rsidRPr="00A94073" w:rsidRDefault="00FF1ECD" w:rsidP="00A01088">
      <w:pPr>
        <w:ind w:firstLine="680"/>
        <w:jc w:val="left"/>
        <w:rPr>
          <w:bCs/>
        </w:rPr>
      </w:pPr>
      <w:r w:rsidRPr="00A94073">
        <w:rPr>
          <w:bCs/>
        </w:rPr>
        <w:t>Rietavo savivaldybės švietimo įstaigų vadovų 201</w:t>
      </w:r>
      <w:r w:rsidR="00A94073" w:rsidRPr="00A94073">
        <w:rPr>
          <w:bCs/>
        </w:rPr>
        <w:t>4</w:t>
      </w:r>
      <w:r w:rsidRPr="00A94073">
        <w:rPr>
          <w:bCs/>
        </w:rPr>
        <w:t xml:space="preserve"> metų veiklos ataskaitoms;</w:t>
      </w:r>
    </w:p>
    <w:p w:rsidR="00FF1ECD" w:rsidRPr="00A94073" w:rsidRDefault="00FF1ECD" w:rsidP="00A01088">
      <w:pPr>
        <w:ind w:firstLine="680"/>
        <w:jc w:val="left"/>
        <w:rPr>
          <w:bCs/>
          <w:szCs w:val="24"/>
        </w:rPr>
      </w:pPr>
      <w:r w:rsidRPr="00A94073">
        <w:rPr>
          <w:szCs w:val="24"/>
        </w:rPr>
        <w:t>Rietavo savivaldybės tarybos Kontrolės komiteto 201</w:t>
      </w:r>
      <w:r w:rsidR="00A94073" w:rsidRPr="00A94073">
        <w:rPr>
          <w:szCs w:val="24"/>
        </w:rPr>
        <w:t>5</w:t>
      </w:r>
      <w:r w:rsidRPr="00A94073">
        <w:rPr>
          <w:szCs w:val="24"/>
        </w:rPr>
        <w:t xml:space="preserve"> metų veiklos ataskaita</w:t>
      </w:r>
      <w:r w:rsidR="00AF59E6" w:rsidRPr="00A94073">
        <w:rPr>
          <w:szCs w:val="24"/>
        </w:rPr>
        <w:t>i</w:t>
      </w:r>
      <w:r w:rsidRPr="00A94073">
        <w:rPr>
          <w:szCs w:val="24"/>
        </w:rPr>
        <w:t>.</w:t>
      </w:r>
    </w:p>
    <w:p w:rsidR="00A93E2C" w:rsidRPr="00630125" w:rsidRDefault="00A93E2C" w:rsidP="00A01088">
      <w:pPr>
        <w:jc w:val="left"/>
        <w:rPr>
          <w:b/>
          <w:i/>
        </w:rPr>
      </w:pPr>
    </w:p>
    <w:p w:rsidR="00A93E2C" w:rsidRPr="00B936D2" w:rsidRDefault="00A93E2C" w:rsidP="00A01088">
      <w:pPr>
        <w:jc w:val="left"/>
        <w:rPr>
          <w:b/>
        </w:rPr>
      </w:pPr>
      <w:r w:rsidRPr="00B936D2">
        <w:rPr>
          <w:b/>
        </w:rPr>
        <w:t>P</w:t>
      </w:r>
      <w:r w:rsidR="00F449BF">
        <w:rPr>
          <w:b/>
        </w:rPr>
        <w:t>atvirtin</w:t>
      </w:r>
      <w:r w:rsidRPr="00B936D2">
        <w:rPr>
          <w:b/>
        </w:rPr>
        <w:t>tos ataskaitos ir finansinės atskaitomybės rinkiniai:</w:t>
      </w:r>
    </w:p>
    <w:p w:rsidR="00A94073" w:rsidRPr="00A94073" w:rsidRDefault="00A94073" w:rsidP="00A01088">
      <w:pPr>
        <w:ind w:firstLine="680"/>
        <w:jc w:val="left"/>
      </w:pPr>
      <w:r w:rsidRPr="00A94073">
        <w:t>Rietavo savivaldybės bendruomenės rėmimo fondo 2014 metų lėšų panaudojimo ataskaita;</w:t>
      </w:r>
    </w:p>
    <w:p w:rsidR="00A94073" w:rsidRPr="00A94073" w:rsidRDefault="00A94073" w:rsidP="00A01088">
      <w:pPr>
        <w:ind w:firstLine="0"/>
        <w:jc w:val="left"/>
      </w:pPr>
      <w:r>
        <w:rPr>
          <w:bCs/>
          <w:i/>
        </w:rPr>
        <w:t xml:space="preserve">          </w:t>
      </w:r>
      <w:r w:rsidR="00A93E2C" w:rsidRPr="00630125">
        <w:rPr>
          <w:bCs/>
          <w:i/>
        </w:rPr>
        <w:t xml:space="preserve"> </w:t>
      </w:r>
      <w:r w:rsidRPr="00A94073">
        <w:t>Rietavo savivaldybės visuomenės sveikatos rėmimo specialiosios programos 201</w:t>
      </w:r>
      <w:r>
        <w:t>4</w:t>
      </w:r>
      <w:r w:rsidRPr="00A94073">
        <w:t xml:space="preserve"> metų priemonėms įgyvendinti lėšų panaudojimo ataskaita;</w:t>
      </w:r>
    </w:p>
    <w:p w:rsidR="00B936D2" w:rsidRDefault="00B936D2" w:rsidP="00A01088">
      <w:pPr>
        <w:ind w:firstLine="680"/>
        <w:jc w:val="left"/>
      </w:pPr>
      <w:r w:rsidRPr="00B936D2">
        <w:t xml:space="preserve">Rietavo savivaldybės </w:t>
      </w:r>
      <w:r>
        <w:t>2014 metų valstybės lėšomis finansuojamų melioracijos statinių priežiūros ir remonto darbų įvykdymo ataskaita;</w:t>
      </w:r>
    </w:p>
    <w:p w:rsidR="00B936D2" w:rsidRPr="00B936D2" w:rsidRDefault="00B936D2" w:rsidP="00A01088">
      <w:pPr>
        <w:ind w:firstLine="680"/>
        <w:jc w:val="left"/>
      </w:pPr>
      <w:r w:rsidRPr="00B936D2">
        <w:t>Rietavo savivaldybės vietinės reikšmės kelių priežiūros ir plėtros programos 201</w:t>
      </w:r>
      <w:r>
        <w:t>4</w:t>
      </w:r>
      <w:r w:rsidRPr="00B936D2">
        <w:t xml:space="preserve"> metų lėšų panaudojimo ataskaita;</w:t>
      </w:r>
    </w:p>
    <w:p w:rsidR="00B936D2" w:rsidRPr="00B936D2" w:rsidRDefault="00B936D2" w:rsidP="00A01088">
      <w:pPr>
        <w:ind w:firstLine="680"/>
        <w:jc w:val="left"/>
        <w:rPr>
          <w:bCs/>
        </w:rPr>
      </w:pPr>
      <w:r w:rsidRPr="00B936D2">
        <w:t>Rietavo savivaldybės 201</w:t>
      </w:r>
      <w:r>
        <w:t>4</w:t>
      </w:r>
      <w:r w:rsidRPr="00B936D2">
        <w:t xml:space="preserve"> metų komunalinių atliekų surinkimo ir tvarkymo programos lėšų panaudojimo ataskaita;</w:t>
      </w:r>
    </w:p>
    <w:p w:rsidR="00A93E2C" w:rsidRPr="00B936D2" w:rsidRDefault="00A93E2C" w:rsidP="00A01088">
      <w:pPr>
        <w:ind w:firstLine="680"/>
        <w:jc w:val="left"/>
        <w:rPr>
          <w:bCs/>
        </w:rPr>
      </w:pPr>
      <w:r w:rsidRPr="00B936D2">
        <w:rPr>
          <w:bCs/>
        </w:rPr>
        <w:t>Rietavo savivaldybės nevyriausybinių organizacijų rėmimo programos 201</w:t>
      </w:r>
      <w:r w:rsidR="00B936D2">
        <w:rPr>
          <w:bCs/>
        </w:rPr>
        <w:t>4</w:t>
      </w:r>
      <w:r w:rsidRPr="00B936D2">
        <w:rPr>
          <w:bCs/>
        </w:rPr>
        <w:t xml:space="preserve"> metų lėšų panaudojimo ataskaita;</w:t>
      </w:r>
    </w:p>
    <w:p w:rsidR="00A93E2C" w:rsidRPr="00B936D2" w:rsidRDefault="00A93E2C" w:rsidP="00A01088">
      <w:pPr>
        <w:ind w:firstLine="680"/>
        <w:jc w:val="left"/>
      </w:pPr>
      <w:r w:rsidRPr="00B936D2">
        <w:t>Rietavo savivaldybės privatizavimo fondo 201</w:t>
      </w:r>
      <w:r w:rsidR="00B936D2">
        <w:t>4</w:t>
      </w:r>
      <w:r w:rsidRPr="00B936D2">
        <w:t xml:space="preserve"> metų lėšų panaudojimo ataskaita;</w:t>
      </w:r>
    </w:p>
    <w:p w:rsidR="00A93E2C" w:rsidRPr="00B936D2" w:rsidRDefault="00A93E2C" w:rsidP="00A01088">
      <w:pPr>
        <w:ind w:firstLine="680"/>
        <w:jc w:val="left"/>
      </w:pPr>
      <w:r w:rsidRPr="00B936D2">
        <w:t>Savivaldybės smulkaus ir vidutinio verslo rėmimo programos 201</w:t>
      </w:r>
      <w:r w:rsidR="00B936D2">
        <w:t>4</w:t>
      </w:r>
      <w:r w:rsidRPr="00B936D2">
        <w:t xml:space="preserve"> metų lėšų panaudojimo ataskaita;</w:t>
      </w:r>
    </w:p>
    <w:p w:rsidR="00A93E2C" w:rsidRPr="00B936D2" w:rsidRDefault="00A93E2C" w:rsidP="00A01088">
      <w:pPr>
        <w:ind w:firstLine="680"/>
        <w:jc w:val="left"/>
      </w:pPr>
      <w:r w:rsidRPr="00B936D2">
        <w:t>Rietavo savivaldybės žemės ūkio rėmimo programos 201</w:t>
      </w:r>
      <w:r w:rsidR="00B936D2">
        <w:t>4</w:t>
      </w:r>
      <w:r w:rsidRPr="00B936D2">
        <w:t xml:space="preserve"> metų lėšų panaudojimo ataskaita;</w:t>
      </w:r>
    </w:p>
    <w:p w:rsidR="00A93E2C" w:rsidRPr="00B936D2" w:rsidRDefault="00A93E2C" w:rsidP="00A01088">
      <w:pPr>
        <w:ind w:firstLine="680"/>
        <w:jc w:val="left"/>
      </w:pPr>
      <w:r w:rsidRPr="00B936D2">
        <w:t>Rietavo savivaldybės aplinkos apsaugos rėmimo specialiosios programos 201</w:t>
      </w:r>
      <w:r w:rsidR="00B936D2">
        <w:t>4</w:t>
      </w:r>
      <w:r w:rsidRPr="00B936D2">
        <w:t xml:space="preserve"> metų priemonių vykdymo ataskaita;</w:t>
      </w:r>
    </w:p>
    <w:p w:rsidR="00B936D2" w:rsidRPr="00B936D2" w:rsidRDefault="00B936D2" w:rsidP="00A01088">
      <w:pPr>
        <w:ind w:firstLine="680"/>
        <w:jc w:val="left"/>
        <w:rPr>
          <w:szCs w:val="24"/>
        </w:rPr>
      </w:pPr>
      <w:r w:rsidRPr="00B936D2">
        <w:rPr>
          <w:szCs w:val="24"/>
        </w:rPr>
        <w:t>VšĮ Rietavo pirminės sveikatos priežiūros centro 201</w:t>
      </w:r>
      <w:r>
        <w:rPr>
          <w:szCs w:val="24"/>
        </w:rPr>
        <w:t>4</w:t>
      </w:r>
      <w:r w:rsidRPr="00B936D2">
        <w:rPr>
          <w:szCs w:val="24"/>
        </w:rPr>
        <w:t xml:space="preserve"> metų finansinių ataskaitų rinkinys;</w:t>
      </w:r>
    </w:p>
    <w:p w:rsidR="00B936D2" w:rsidRPr="00B936D2" w:rsidRDefault="00B936D2" w:rsidP="00A01088">
      <w:pPr>
        <w:ind w:firstLine="680"/>
        <w:jc w:val="left"/>
      </w:pPr>
      <w:r w:rsidRPr="00B936D2">
        <w:t>Rietavo savivaldybės administracijos, Savivaldybei pavaldžių ir (arba) jos valdymo sričiai priskirtų viešųjų juridinių asmenų 2014 metų finansų kontrolės būklės ataskaita;</w:t>
      </w:r>
    </w:p>
    <w:p w:rsidR="00AF59E6" w:rsidRPr="00B936D2" w:rsidRDefault="00AF59E6" w:rsidP="00A01088">
      <w:pPr>
        <w:ind w:firstLine="680"/>
        <w:jc w:val="left"/>
        <w:rPr>
          <w:szCs w:val="24"/>
        </w:rPr>
      </w:pPr>
      <w:r w:rsidRPr="00B936D2">
        <w:rPr>
          <w:szCs w:val="24"/>
        </w:rPr>
        <w:t>UAB „Rietavo komunalinis ūkis“ 201</w:t>
      </w:r>
      <w:r w:rsidR="00B936D2" w:rsidRPr="00B936D2">
        <w:rPr>
          <w:szCs w:val="24"/>
        </w:rPr>
        <w:t>4</w:t>
      </w:r>
      <w:r w:rsidRPr="00B936D2">
        <w:rPr>
          <w:szCs w:val="24"/>
        </w:rPr>
        <w:t xml:space="preserve"> metų metinio pranešimas, metinė finansinė atskaitomybė, pelnas (nuostolis);</w:t>
      </w:r>
    </w:p>
    <w:p w:rsidR="00B936D2" w:rsidRDefault="00B936D2" w:rsidP="00A01088">
      <w:pPr>
        <w:ind w:firstLine="680"/>
        <w:jc w:val="left"/>
        <w:rPr>
          <w:szCs w:val="24"/>
        </w:rPr>
      </w:pPr>
      <w:r>
        <w:rPr>
          <w:szCs w:val="24"/>
        </w:rPr>
        <w:t>Rietavo savivaldybės 2014 metų biudžeto vykdymo ataskaitų ir konsoliduotųjų finansinių ataskaitų rinkinys.</w:t>
      </w:r>
    </w:p>
    <w:p w:rsidR="00A93E2C" w:rsidRPr="00630125" w:rsidRDefault="00A93E2C" w:rsidP="00A01088">
      <w:pPr>
        <w:pStyle w:val="Pagrindinistekstas"/>
        <w:ind w:firstLine="680"/>
        <w:jc w:val="left"/>
        <w:rPr>
          <w:bCs/>
          <w:i/>
          <w:color w:val="3366FF"/>
          <w:szCs w:val="24"/>
        </w:rPr>
      </w:pPr>
    </w:p>
    <w:p w:rsidR="00AE5481" w:rsidRPr="00B936D2" w:rsidRDefault="00010A2D" w:rsidP="00A01088">
      <w:pPr>
        <w:widowControl w:val="0"/>
        <w:suppressAutoHyphens/>
        <w:ind w:firstLine="0"/>
        <w:jc w:val="left"/>
        <w:rPr>
          <w:bCs/>
        </w:rPr>
      </w:pPr>
      <w:r w:rsidRPr="00B936D2">
        <w:t xml:space="preserve">           Vykdydam</w:t>
      </w:r>
      <w:r w:rsidR="00F449BF">
        <w:t>i</w:t>
      </w:r>
      <w:r w:rsidRPr="00B936D2">
        <w:t xml:space="preserve"> Vyriausybės atstovo Telšių apskrityje reikalavimus ir vadovaudamasi Lietuvos Respublikos vietos savivaldos įstatymu, Rietavo savivaldybės</w:t>
      </w:r>
      <w:r w:rsidR="00495872" w:rsidRPr="00B936D2">
        <w:t xml:space="preserve"> administracijos direktorius ir</w:t>
      </w:r>
      <w:r w:rsidRPr="00B936D2">
        <w:t xml:space="preserve"> </w:t>
      </w:r>
      <w:r w:rsidR="00495872" w:rsidRPr="00B936D2">
        <w:t>T</w:t>
      </w:r>
      <w:r w:rsidRPr="00B936D2">
        <w:t xml:space="preserve">aryba patvirtino </w:t>
      </w:r>
      <w:r w:rsidR="00B936D2">
        <w:t xml:space="preserve">Teritorijų planavimo komisiją, Rietavo savivaldybės sporto klubų rėmimo nuostatus, </w:t>
      </w:r>
      <w:r w:rsidR="005A1DC9">
        <w:t xml:space="preserve">Savivaldybės būsto ir socialinio būsto nuomos tvarkos aprašą, Rietavo savivaldybės tarybos veiklos reglamentą, Rietavo savivaldybės švietimo įstaigų klasių komplektų ir priešmokyklinio ugdymo grupių skaičiaus 2015-2016 mokslo metais nustatymą, Rietavo savivaldybės butų ir kitų patalpų savininkų bendrijų valdymo organų, jungtinės veiklos sutartimi </w:t>
      </w:r>
      <w:r w:rsidR="005A1DC9">
        <w:lastRenderedPageBreak/>
        <w:t xml:space="preserve">įgaliotų asmenų ir Savivaldybės vykdomosios institucijos paskirtų bendrojo naudojimo objektų administratorių veiklos, susijusios su įstatymų ir kitų teisės aktų jiems priskirtų funkcijų vykdymu, priežiūros ir kontrolės taisykles, Mokesčio už naudojimąsi Rietavo savivaldybės vietinės reikšmės viešaisiais keliais didžiagabaritėmis ir (ar) sunkiasvorėmis transporto priemonėmis ar jų junginiais dydžių nustatymo ir mokesčio mokėjimo, administravimo, priežiūros ir leidimų išdavimo tvarkos aprašą, Rietavo savivaldybės daugiabučių gyvenamųjų namų bendrojo naudojimo objektų administravimo maksimalaus tarifo apskaičiavimo tvarkos aprašą, Licencijų verstis mažmenine prekyba alkoholiniais gėrimais išdavimo tvarkos aprašą. </w:t>
      </w:r>
      <w:r w:rsidR="005A1DC9" w:rsidRPr="00B936D2">
        <w:rPr>
          <w:bCs/>
        </w:rPr>
        <w:t xml:space="preserve"> </w:t>
      </w:r>
    </w:p>
    <w:p w:rsidR="00010A2D" w:rsidRPr="00630125" w:rsidRDefault="00010A2D" w:rsidP="00A01088">
      <w:pPr>
        <w:widowControl w:val="0"/>
        <w:suppressAutoHyphens/>
        <w:jc w:val="left"/>
        <w:rPr>
          <w:i/>
        </w:rPr>
      </w:pPr>
    </w:p>
    <w:p w:rsidR="00010A2D" w:rsidRPr="005A1DC9" w:rsidRDefault="00010A2D" w:rsidP="00963AE3">
      <w:pPr>
        <w:jc w:val="left"/>
      </w:pPr>
      <w:r w:rsidRPr="00630125">
        <w:rPr>
          <w:i/>
        </w:rPr>
        <w:t xml:space="preserve">      </w:t>
      </w:r>
    </w:p>
    <w:p w:rsidR="00010A2D" w:rsidRPr="005A1DC9" w:rsidRDefault="00010A2D" w:rsidP="00963AE3">
      <w:pPr>
        <w:jc w:val="center"/>
        <w:rPr>
          <w:b/>
        </w:rPr>
      </w:pPr>
      <w:r w:rsidRPr="005A1DC9">
        <w:rPr>
          <w:b/>
        </w:rPr>
        <w:t>KOMITETAI IR JŲ VEIKLA</w:t>
      </w:r>
    </w:p>
    <w:p w:rsidR="00010A2D" w:rsidRPr="005A1DC9" w:rsidRDefault="00010A2D" w:rsidP="00A01088">
      <w:pPr>
        <w:ind w:firstLine="680"/>
        <w:jc w:val="left"/>
        <w:rPr>
          <w:rFonts w:eastAsia="Lucida Sans Unicode"/>
          <w:b/>
          <w:kern w:val="2"/>
        </w:rPr>
      </w:pPr>
    </w:p>
    <w:p w:rsidR="00010A2D" w:rsidRPr="005A1DC9" w:rsidRDefault="00010A2D" w:rsidP="00A01088">
      <w:pPr>
        <w:ind w:firstLine="680"/>
        <w:jc w:val="left"/>
      </w:pPr>
      <w:r w:rsidRPr="005A1DC9">
        <w:t xml:space="preserve">Savivaldybės Taryba teikiamiems klausimams preliminariai nagrinėti, išvadoms ir pasiūlymams teikti, kontroliuoti, kaip laikomasi įstatymų ir vykdomi Tarybos sprendimai ir mero potvarkiai, yra sudariusi 5 komitetus:  </w:t>
      </w:r>
    </w:p>
    <w:p w:rsidR="00010A2D" w:rsidRPr="005A1DC9" w:rsidRDefault="00010A2D" w:rsidP="00A01088">
      <w:pPr>
        <w:ind w:firstLine="680"/>
        <w:jc w:val="left"/>
        <w:rPr>
          <w:color w:val="3366FF"/>
        </w:rPr>
      </w:pPr>
    </w:p>
    <w:p w:rsidR="00010A2D" w:rsidRPr="00630125" w:rsidRDefault="00664489" w:rsidP="00010A2D">
      <w:pPr>
        <w:rPr>
          <w:i/>
          <w:color w:val="00FF00"/>
        </w:rPr>
      </w:pPr>
      <w:r w:rsidRPr="00630125">
        <w:rPr>
          <w:i/>
          <w:noProof/>
          <w:color w:val="00FF00"/>
          <w:lang w:eastAsia="lt-LT"/>
        </w:rPr>
        <w:drawing>
          <wp:inline distT="0" distB="0" distL="0" distR="0">
            <wp:extent cx="5532120" cy="1600200"/>
            <wp:effectExtent l="19050" t="0" r="11430" b="0"/>
            <wp:docPr id="42" name="Organizacijos schema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sidR="00010A2D" w:rsidRPr="00630125">
        <w:rPr>
          <w:i/>
          <w:color w:val="00FF00"/>
        </w:rPr>
        <w:t xml:space="preserve">        </w:t>
      </w:r>
    </w:p>
    <w:p w:rsidR="00010A2D" w:rsidRPr="00630125" w:rsidRDefault="00010A2D" w:rsidP="00010A2D">
      <w:pPr>
        <w:ind w:firstLine="1134"/>
        <w:rPr>
          <w:i/>
        </w:rPr>
      </w:pPr>
    </w:p>
    <w:p w:rsidR="00010A2D" w:rsidRPr="000F733E" w:rsidRDefault="00010A2D" w:rsidP="00A01088">
      <w:pPr>
        <w:ind w:firstLine="1134"/>
        <w:jc w:val="left"/>
      </w:pPr>
      <w:r w:rsidRPr="000F733E">
        <w:t xml:space="preserve">Iš viso įvyko </w:t>
      </w:r>
      <w:r w:rsidR="002E6149" w:rsidRPr="000F733E">
        <w:t>3</w:t>
      </w:r>
      <w:r w:rsidR="000F733E" w:rsidRPr="000F733E">
        <w:t>7</w:t>
      </w:r>
      <w:r w:rsidRPr="000F733E">
        <w:t xml:space="preserve"> komitet</w:t>
      </w:r>
      <w:r w:rsidR="002E6149" w:rsidRPr="000F733E">
        <w:t>ų</w:t>
      </w:r>
      <w:r w:rsidRPr="000F733E">
        <w:t xml:space="preserve"> posėd</w:t>
      </w:r>
      <w:r w:rsidR="002E6149" w:rsidRPr="000F733E">
        <w:t>ž</w:t>
      </w:r>
      <w:r w:rsidRPr="000F733E">
        <w:t>i</w:t>
      </w:r>
      <w:r w:rsidR="002E6149" w:rsidRPr="000F733E">
        <w:t>ai</w:t>
      </w:r>
      <w:r w:rsidRPr="000F733E">
        <w:t xml:space="preserve">, kuriuose  apsvarstyti </w:t>
      </w:r>
      <w:r w:rsidR="000F733E" w:rsidRPr="000F733E">
        <w:t>328</w:t>
      </w:r>
      <w:r w:rsidR="00C21CC4" w:rsidRPr="000F733E">
        <w:t xml:space="preserve"> </w:t>
      </w:r>
      <w:r w:rsidRPr="000F733E">
        <w:t>klausimai.</w:t>
      </w:r>
    </w:p>
    <w:p w:rsidR="00010A2D" w:rsidRPr="000F733E" w:rsidRDefault="00010A2D" w:rsidP="00010A2D">
      <w:pPr>
        <w:ind w:firstLine="540"/>
      </w:pPr>
    </w:p>
    <w:tbl>
      <w:tblPr>
        <w:tblpPr w:leftFromText="180" w:rightFromText="180" w:vertAnchor="text" w:horzAnchor="margin"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06"/>
        <w:gridCol w:w="1920"/>
        <w:gridCol w:w="2160"/>
      </w:tblGrid>
      <w:tr w:rsidR="00010A2D" w:rsidRPr="000F733E">
        <w:trPr>
          <w:cantSplit/>
          <w:trHeight w:val="530"/>
        </w:trPr>
        <w:tc>
          <w:tcPr>
            <w:tcW w:w="4706" w:type="dxa"/>
            <w:tcBorders>
              <w:top w:val="single" w:sz="4" w:space="0" w:color="auto"/>
              <w:left w:val="single" w:sz="4" w:space="0" w:color="auto"/>
              <w:bottom w:val="single" w:sz="4" w:space="0" w:color="auto"/>
              <w:right w:val="single" w:sz="4" w:space="0" w:color="auto"/>
            </w:tcBorders>
            <w:shd w:val="clear" w:color="auto" w:fill="FFFF00"/>
          </w:tcPr>
          <w:p w:rsidR="00010A2D" w:rsidRPr="000F733E" w:rsidRDefault="00E75CF3" w:rsidP="00E75CF3">
            <w:pPr>
              <w:pStyle w:val="Antrat2"/>
              <w:rPr>
                <w:rFonts w:ascii="Times New Roman" w:hAnsi="Times New Roman" w:cs="Times New Roman"/>
                <w:i w:val="0"/>
                <w:sz w:val="24"/>
                <w:szCs w:val="24"/>
              </w:rPr>
            </w:pPr>
            <w:r w:rsidRPr="000F733E">
              <w:rPr>
                <w:rFonts w:ascii="Times New Roman" w:hAnsi="Times New Roman" w:cs="Times New Roman"/>
                <w:i w:val="0"/>
                <w:sz w:val="24"/>
                <w:szCs w:val="24"/>
              </w:rPr>
              <w:t xml:space="preserve">                            </w:t>
            </w:r>
            <w:r w:rsidR="00010A2D" w:rsidRPr="000F733E">
              <w:rPr>
                <w:rFonts w:ascii="Times New Roman" w:hAnsi="Times New Roman" w:cs="Times New Roman"/>
                <w:i w:val="0"/>
                <w:sz w:val="24"/>
                <w:szCs w:val="24"/>
              </w:rPr>
              <w:t>Komitetai</w:t>
            </w:r>
          </w:p>
        </w:tc>
        <w:tc>
          <w:tcPr>
            <w:tcW w:w="1920" w:type="dxa"/>
            <w:tcBorders>
              <w:top w:val="single" w:sz="4" w:space="0" w:color="auto"/>
              <w:left w:val="single" w:sz="4" w:space="0" w:color="auto"/>
              <w:bottom w:val="single" w:sz="4" w:space="0" w:color="auto"/>
              <w:right w:val="single" w:sz="4" w:space="0" w:color="auto"/>
            </w:tcBorders>
            <w:shd w:val="clear" w:color="auto" w:fill="FFFF00"/>
          </w:tcPr>
          <w:p w:rsidR="00010A2D" w:rsidRPr="000F733E" w:rsidRDefault="00010A2D" w:rsidP="00E75CF3">
            <w:pPr>
              <w:ind w:firstLine="0"/>
              <w:rPr>
                <w:b/>
                <w:bCs/>
              </w:rPr>
            </w:pPr>
            <w:r w:rsidRPr="000F733E">
              <w:rPr>
                <w:b/>
              </w:rPr>
              <w:t xml:space="preserve">Surengė </w:t>
            </w:r>
            <w:r w:rsidR="00E75CF3" w:rsidRPr="000F733E">
              <w:rPr>
                <w:b/>
              </w:rPr>
              <w:t>p</w:t>
            </w:r>
            <w:r w:rsidRPr="000F733E">
              <w:rPr>
                <w:b/>
              </w:rPr>
              <w:t>osėdžių</w:t>
            </w:r>
          </w:p>
        </w:tc>
        <w:tc>
          <w:tcPr>
            <w:tcW w:w="2160" w:type="dxa"/>
            <w:tcBorders>
              <w:top w:val="single" w:sz="4" w:space="0" w:color="auto"/>
              <w:left w:val="single" w:sz="4" w:space="0" w:color="auto"/>
              <w:bottom w:val="single" w:sz="4" w:space="0" w:color="auto"/>
              <w:right w:val="single" w:sz="4" w:space="0" w:color="auto"/>
            </w:tcBorders>
            <w:shd w:val="clear" w:color="auto" w:fill="FFFF00"/>
          </w:tcPr>
          <w:p w:rsidR="00010A2D" w:rsidRPr="000F733E" w:rsidRDefault="00010A2D" w:rsidP="00E75CF3">
            <w:pPr>
              <w:ind w:firstLine="0"/>
              <w:rPr>
                <w:b/>
                <w:bCs/>
              </w:rPr>
            </w:pPr>
            <w:r w:rsidRPr="000F733E">
              <w:rPr>
                <w:b/>
                <w:bCs/>
              </w:rPr>
              <w:t>Svarstė klausimų</w:t>
            </w:r>
          </w:p>
        </w:tc>
      </w:tr>
      <w:tr w:rsidR="00010A2D" w:rsidRPr="000F733E">
        <w:trPr>
          <w:cantSplit/>
          <w:trHeight w:val="591"/>
        </w:trPr>
        <w:tc>
          <w:tcPr>
            <w:tcW w:w="4706" w:type="dxa"/>
            <w:tcBorders>
              <w:top w:val="single" w:sz="4" w:space="0" w:color="auto"/>
              <w:left w:val="single" w:sz="4" w:space="0" w:color="auto"/>
              <w:bottom w:val="single" w:sz="4" w:space="0" w:color="auto"/>
              <w:right w:val="single" w:sz="4" w:space="0" w:color="auto"/>
            </w:tcBorders>
          </w:tcPr>
          <w:p w:rsidR="00010A2D" w:rsidRPr="000F733E" w:rsidRDefault="00010A2D" w:rsidP="00B44C8F">
            <w:pPr>
              <w:pStyle w:val="Pagrindiniotekstotrauka2"/>
              <w:jc w:val="center"/>
            </w:pPr>
            <w:r w:rsidRPr="000F733E">
              <w:t>Ūkio plėtros ir ekologijos komitetas</w:t>
            </w:r>
          </w:p>
          <w:p w:rsidR="00010A2D" w:rsidRPr="000F733E" w:rsidRDefault="00010A2D" w:rsidP="00B44C8F">
            <w:pPr>
              <w:jc w:val="center"/>
              <w:rPr>
                <w:bCs/>
              </w:rPr>
            </w:pPr>
          </w:p>
        </w:tc>
        <w:tc>
          <w:tcPr>
            <w:tcW w:w="1920" w:type="dxa"/>
            <w:tcBorders>
              <w:top w:val="single" w:sz="4" w:space="0" w:color="auto"/>
              <w:left w:val="single" w:sz="4" w:space="0" w:color="auto"/>
              <w:bottom w:val="single" w:sz="4" w:space="0" w:color="auto"/>
              <w:right w:val="single" w:sz="4" w:space="0" w:color="auto"/>
            </w:tcBorders>
          </w:tcPr>
          <w:p w:rsidR="00010A2D" w:rsidRPr="000F733E" w:rsidRDefault="00E4023C" w:rsidP="000F733E">
            <w:pPr>
              <w:ind w:firstLine="0"/>
              <w:jc w:val="left"/>
              <w:rPr>
                <w:bCs/>
              </w:rPr>
            </w:pPr>
            <w:r w:rsidRPr="000F733E">
              <w:rPr>
                <w:bCs/>
              </w:rPr>
              <w:t>9 (201</w:t>
            </w:r>
            <w:r w:rsidR="000F733E">
              <w:rPr>
                <w:bCs/>
              </w:rPr>
              <w:t>4</w:t>
            </w:r>
            <w:r w:rsidRPr="000F733E">
              <w:rPr>
                <w:bCs/>
              </w:rPr>
              <w:t xml:space="preserve"> m. – 9)</w:t>
            </w:r>
          </w:p>
        </w:tc>
        <w:tc>
          <w:tcPr>
            <w:tcW w:w="2160" w:type="dxa"/>
            <w:tcBorders>
              <w:top w:val="single" w:sz="4" w:space="0" w:color="auto"/>
              <w:left w:val="single" w:sz="4" w:space="0" w:color="auto"/>
              <w:bottom w:val="single" w:sz="4" w:space="0" w:color="auto"/>
              <w:right w:val="single" w:sz="4" w:space="0" w:color="auto"/>
            </w:tcBorders>
          </w:tcPr>
          <w:p w:rsidR="00010A2D" w:rsidRPr="000F733E" w:rsidRDefault="000F733E" w:rsidP="000F733E">
            <w:pPr>
              <w:ind w:firstLine="0"/>
              <w:jc w:val="left"/>
              <w:rPr>
                <w:bCs/>
              </w:rPr>
            </w:pPr>
            <w:r>
              <w:rPr>
                <w:bCs/>
              </w:rPr>
              <w:t>80</w:t>
            </w:r>
            <w:r w:rsidR="00E4023C" w:rsidRPr="000F733E">
              <w:rPr>
                <w:bCs/>
              </w:rPr>
              <w:t xml:space="preserve"> (201</w:t>
            </w:r>
            <w:r>
              <w:rPr>
                <w:bCs/>
              </w:rPr>
              <w:t>4</w:t>
            </w:r>
            <w:r w:rsidR="00E4023C" w:rsidRPr="000F733E">
              <w:rPr>
                <w:bCs/>
              </w:rPr>
              <w:t xml:space="preserve"> m. – </w:t>
            </w:r>
            <w:r>
              <w:rPr>
                <w:bCs/>
              </w:rPr>
              <w:t>67</w:t>
            </w:r>
            <w:r w:rsidR="00E4023C" w:rsidRPr="000F733E">
              <w:rPr>
                <w:bCs/>
              </w:rPr>
              <w:t>)</w:t>
            </w:r>
          </w:p>
        </w:tc>
      </w:tr>
      <w:tr w:rsidR="00010A2D" w:rsidRPr="000F733E">
        <w:trPr>
          <w:cantSplit/>
          <w:trHeight w:val="691"/>
        </w:trPr>
        <w:tc>
          <w:tcPr>
            <w:tcW w:w="4706" w:type="dxa"/>
            <w:tcBorders>
              <w:top w:val="single" w:sz="4" w:space="0" w:color="auto"/>
              <w:left w:val="single" w:sz="4" w:space="0" w:color="auto"/>
              <w:bottom w:val="single" w:sz="4" w:space="0" w:color="auto"/>
              <w:right w:val="single" w:sz="4" w:space="0" w:color="auto"/>
            </w:tcBorders>
          </w:tcPr>
          <w:p w:rsidR="00010A2D" w:rsidRPr="000F733E" w:rsidRDefault="00010A2D" w:rsidP="00B44C8F">
            <w:pPr>
              <w:ind w:left="-108" w:right="-123"/>
              <w:jc w:val="center"/>
            </w:pPr>
            <w:r w:rsidRPr="000F733E">
              <w:t>Švietimo, kultūros, sporto ir komitetas</w:t>
            </w:r>
          </w:p>
        </w:tc>
        <w:tc>
          <w:tcPr>
            <w:tcW w:w="1920" w:type="dxa"/>
            <w:tcBorders>
              <w:top w:val="single" w:sz="4" w:space="0" w:color="auto"/>
              <w:left w:val="single" w:sz="4" w:space="0" w:color="auto"/>
              <w:bottom w:val="single" w:sz="4" w:space="0" w:color="auto"/>
              <w:right w:val="single" w:sz="4" w:space="0" w:color="auto"/>
            </w:tcBorders>
          </w:tcPr>
          <w:p w:rsidR="00010A2D" w:rsidRPr="000F733E" w:rsidRDefault="000F733E" w:rsidP="000F733E">
            <w:pPr>
              <w:ind w:firstLine="0"/>
              <w:jc w:val="left"/>
              <w:rPr>
                <w:bCs/>
              </w:rPr>
            </w:pPr>
            <w:r>
              <w:rPr>
                <w:bCs/>
              </w:rPr>
              <w:t>6</w:t>
            </w:r>
            <w:r w:rsidR="00E4023C" w:rsidRPr="000F733E">
              <w:rPr>
                <w:bCs/>
              </w:rPr>
              <w:t xml:space="preserve"> (201</w:t>
            </w:r>
            <w:r>
              <w:rPr>
                <w:bCs/>
              </w:rPr>
              <w:t>4</w:t>
            </w:r>
            <w:r w:rsidR="00E4023C" w:rsidRPr="000F733E">
              <w:rPr>
                <w:bCs/>
              </w:rPr>
              <w:t xml:space="preserve"> m. – </w:t>
            </w:r>
            <w:r>
              <w:rPr>
                <w:bCs/>
              </w:rPr>
              <w:t>9</w:t>
            </w:r>
            <w:r w:rsidR="00E4023C" w:rsidRPr="000F733E">
              <w:rPr>
                <w:bCs/>
              </w:rPr>
              <w:t>)</w:t>
            </w:r>
          </w:p>
        </w:tc>
        <w:tc>
          <w:tcPr>
            <w:tcW w:w="2160" w:type="dxa"/>
            <w:tcBorders>
              <w:top w:val="single" w:sz="4" w:space="0" w:color="auto"/>
              <w:left w:val="single" w:sz="4" w:space="0" w:color="auto"/>
              <w:bottom w:val="single" w:sz="4" w:space="0" w:color="auto"/>
              <w:right w:val="single" w:sz="4" w:space="0" w:color="auto"/>
            </w:tcBorders>
          </w:tcPr>
          <w:p w:rsidR="00010A2D" w:rsidRPr="000F733E" w:rsidRDefault="000F733E" w:rsidP="000F733E">
            <w:pPr>
              <w:ind w:firstLine="0"/>
              <w:jc w:val="left"/>
              <w:rPr>
                <w:bCs/>
              </w:rPr>
            </w:pPr>
            <w:r>
              <w:rPr>
                <w:bCs/>
              </w:rPr>
              <w:t>32</w:t>
            </w:r>
            <w:r w:rsidR="00E4023C" w:rsidRPr="000F733E">
              <w:rPr>
                <w:bCs/>
              </w:rPr>
              <w:t xml:space="preserve"> (201</w:t>
            </w:r>
            <w:r>
              <w:rPr>
                <w:bCs/>
              </w:rPr>
              <w:t>4</w:t>
            </w:r>
            <w:r w:rsidR="00E4023C" w:rsidRPr="000F733E">
              <w:rPr>
                <w:bCs/>
              </w:rPr>
              <w:t xml:space="preserve"> m. – </w:t>
            </w:r>
            <w:r>
              <w:rPr>
                <w:bCs/>
              </w:rPr>
              <w:t>43</w:t>
            </w:r>
            <w:r w:rsidR="00E4023C" w:rsidRPr="000F733E">
              <w:rPr>
                <w:bCs/>
              </w:rPr>
              <w:t>)</w:t>
            </w:r>
          </w:p>
        </w:tc>
      </w:tr>
      <w:tr w:rsidR="00010A2D" w:rsidRPr="000F733E">
        <w:trPr>
          <w:cantSplit/>
          <w:trHeight w:val="573"/>
        </w:trPr>
        <w:tc>
          <w:tcPr>
            <w:tcW w:w="4706" w:type="dxa"/>
            <w:tcBorders>
              <w:top w:val="single" w:sz="4" w:space="0" w:color="auto"/>
              <w:left w:val="single" w:sz="4" w:space="0" w:color="auto"/>
              <w:bottom w:val="single" w:sz="4" w:space="0" w:color="auto"/>
              <w:right w:val="single" w:sz="4" w:space="0" w:color="auto"/>
            </w:tcBorders>
          </w:tcPr>
          <w:p w:rsidR="00010A2D" w:rsidRPr="000F733E" w:rsidRDefault="00010A2D" w:rsidP="00B44C8F">
            <w:pPr>
              <w:ind w:left="-108" w:right="-123"/>
              <w:jc w:val="center"/>
            </w:pPr>
            <w:r w:rsidRPr="000F733E">
              <w:t>Sveikatos ir socialinės paramos komitetas</w:t>
            </w:r>
          </w:p>
        </w:tc>
        <w:tc>
          <w:tcPr>
            <w:tcW w:w="1920" w:type="dxa"/>
            <w:tcBorders>
              <w:top w:val="single" w:sz="4" w:space="0" w:color="auto"/>
              <w:left w:val="single" w:sz="4" w:space="0" w:color="auto"/>
              <w:bottom w:val="single" w:sz="4" w:space="0" w:color="auto"/>
              <w:right w:val="single" w:sz="4" w:space="0" w:color="auto"/>
            </w:tcBorders>
          </w:tcPr>
          <w:p w:rsidR="00010A2D" w:rsidRPr="000F733E" w:rsidRDefault="00E4023C" w:rsidP="000F733E">
            <w:pPr>
              <w:ind w:firstLine="0"/>
              <w:jc w:val="left"/>
              <w:rPr>
                <w:bCs/>
              </w:rPr>
            </w:pPr>
            <w:r w:rsidRPr="000F733E">
              <w:rPr>
                <w:bCs/>
              </w:rPr>
              <w:t>9 (201</w:t>
            </w:r>
            <w:r w:rsidR="000F733E">
              <w:rPr>
                <w:bCs/>
              </w:rPr>
              <w:t>4</w:t>
            </w:r>
            <w:r w:rsidRPr="000F733E">
              <w:rPr>
                <w:bCs/>
              </w:rPr>
              <w:t xml:space="preserve"> m. – 9)</w:t>
            </w:r>
          </w:p>
        </w:tc>
        <w:tc>
          <w:tcPr>
            <w:tcW w:w="2160" w:type="dxa"/>
            <w:tcBorders>
              <w:top w:val="single" w:sz="4" w:space="0" w:color="auto"/>
              <w:left w:val="single" w:sz="4" w:space="0" w:color="auto"/>
              <w:bottom w:val="single" w:sz="4" w:space="0" w:color="auto"/>
              <w:right w:val="single" w:sz="4" w:space="0" w:color="auto"/>
            </w:tcBorders>
          </w:tcPr>
          <w:p w:rsidR="00010A2D" w:rsidRPr="000F733E" w:rsidRDefault="00E4023C" w:rsidP="000F733E">
            <w:pPr>
              <w:ind w:firstLine="0"/>
              <w:jc w:val="left"/>
              <w:rPr>
                <w:bCs/>
              </w:rPr>
            </w:pPr>
            <w:r w:rsidRPr="000F733E">
              <w:rPr>
                <w:bCs/>
              </w:rPr>
              <w:t xml:space="preserve"> 5</w:t>
            </w:r>
            <w:r w:rsidR="000F733E">
              <w:rPr>
                <w:bCs/>
              </w:rPr>
              <w:t>2</w:t>
            </w:r>
            <w:r w:rsidRPr="000F733E">
              <w:rPr>
                <w:bCs/>
              </w:rPr>
              <w:t xml:space="preserve"> (201</w:t>
            </w:r>
            <w:r w:rsidR="000F733E">
              <w:rPr>
                <w:bCs/>
              </w:rPr>
              <w:t>4</w:t>
            </w:r>
            <w:r w:rsidRPr="000F733E">
              <w:rPr>
                <w:bCs/>
              </w:rPr>
              <w:t xml:space="preserve"> m. – </w:t>
            </w:r>
            <w:r w:rsidR="000F733E">
              <w:rPr>
                <w:bCs/>
              </w:rPr>
              <w:t>5</w:t>
            </w:r>
            <w:r w:rsidR="00C21CC4" w:rsidRPr="000F733E">
              <w:rPr>
                <w:bCs/>
              </w:rPr>
              <w:t>9</w:t>
            </w:r>
            <w:r w:rsidRPr="000F733E">
              <w:rPr>
                <w:bCs/>
              </w:rPr>
              <w:t>)</w:t>
            </w:r>
          </w:p>
        </w:tc>
      </w:tr>
      <w:tr w:rsidR="00010A2D" w:rsidRPr="000F733E">
        <w:trPr>
          <w:cantSplit/>
          <w:trHeight w:val="455"/>
        </w:trPr>
        <w:tc>
          <w:tcPr>
            <w:tcW w:w="4706" w:type="dxa"/>
            <w:tcBorders>
              <w:top w:val="single" w:sz="4" w:space="0" w:color="auto"/>
              <w:left w:val="single" w:sz="4" w:space="0" w:color="auto"/>
              <w:bottom w:val="single" w:sz="4" w:space="0" w:color="auto"/>
              <w:right w:val="single" w:sz="4" w:space="0" w:color="auto"/>
            </w:tcBorders>
          </w:tcPr>
          <w:p w:rsidR="00010A2D" w:rsidRPr="000F733E" w:rsidRDefault="00010A2D" w:rsidP="00B44C8F">
            <w:pPr>
              <w:jc w:val="center"/>
            </w:pPr>
            <w:r w:rsidRPr="000F733E">
              <w:t>Finansų ir ekonomikos komitetas</w:t>
            </w:r>
          </w:p>
        </w:tc>
        <w:tc>
          <w:tcPr>
            <w:tcW w:w="1920" w:type="dxa"/>
            <w:tcBorders>
              <w:top w:val="single" w:sz="4" w:space="0" w:color="auto"/>
              <w:left w:val="single" w:sz="4" w:space="0" w:color="auto"/>
              <w:bottom w:val="single" w:sz="4" w:space="0" w:color="auto"/>
              <w:right w:val="single" w:sz="4" w:space="0" w:color="auto"/>
            </w:tcBorders>
          </w:tcPr>
          <w:p w:rsidR="00010A2D" w:rsidRPr="000F733E" w:rsidRDefault="00E4023C" w:rsidP="000F733E">
            <w:pPr>
              <w:ind w:firstLine="0"/>
              <w:jc w:val="left"/>
              <w:rPr>
                <w:bCs/>
              </w:rPr>
            </w:pPr>
            <w:r w:rsidRPr="000F733E">
              <w:rPr>
                <w:bCs/>
              </w:rPr>
              <w:t>9 (201</w:t>
            </w:r>
            <w:r w:rsidR="000F733E">
              <w:rPr>
                <w:bCs/>
              </w:rPr>
              <w:t>4</w:t>
            </w:r>
            <w:r w:rsidRPr="000F733E">
              <w:rPr>
                <w:bCs/>
              </w:rPr>
              <w:t xml:space="preserve"> m. – 9)</w:t>
            </w:r>
          </w:p>
        </w:tc>
        <w:tc>
          <w:tcPr>
            <w:tcW w:w="2160" w:type="dxa"/>
            <w:tcBorders>
              <w:top w:val="single" w:sz="4" w:space="0" w:color="auto"/>
              <w:left w:val="single" w:sz="4" w:space="0" w:color="auto"/>
              <w:bottom w:val="single" w:sz="4" w:space="0" w:color="auto"/>
              <w:right w:val="single" w:sz="4" w:space="0" w:color="auto"/>
            </w:tcBorders>
          </w:tcPr>
          <w:p w:rsidR="00010A2D" w:rsidRPr="000F733E" w:rsidRDefault="00E4023C" w:rsidP="000F733E">
            <w:pPr>
              <w:ind w:firstLine="0"/>
              <w:jc w:val="left"/>
              <w:rPr>
                <w:bCs/>
              </w:rPr>
            </w:pPr>
            <w:r w:rsidRPr="000F733E">
              <w:rPr>
                <w:bCs/>
              </w:rPr>
              <w:t>1</w:t>
            </w:r>
            <w:r w:rsidR="000F733E">
              <w:rPr>
                <w:bCs/>
              </w:rPr>
              <w:t>55</w:t>
            </w:r>
            <w:r w:rsidRPr="000F733E">
              <w:rPr>
                <w:bCs/>
              </w:rPr>
              <w:t xml:space="preserve"> (201</w:t>
            </w:r>
            <w:r w:rsidR="000F733E">
              <w:rPr>
                <w:bCs/>
              </w:rPr>
              <w:t>4</w:t>
            </w:r>
            <w:r w:rsidRPr="000F733E">
              <w:rPr>
                <w:bCs/>
              </w:rPr>
              <w:t xml:space="preserve"> m. – </w:t>
            </w:r>
            <w:r w:rsidR="000D37E7" w:rsidRPr="000F733E">
              <w:rPr>
                <w:bCs/>
              </w:rPr>
              <w:t>1</w:t>
            </w:r>
            <w:r w:rsidR="000F733E">
              <w:rPr>
                <w:bCs/>
              </w:rPr>
              <w:t>6</w:t>
            </w:r>
            <w:r w:rsidR="00C21CC4" w:rsidRPr="000F733E">
              <w:rPr>
                <w:bCs/>
              </w:rPr>
              <w:t>0</w:t>
            </w:r>
            <w:r w:rsidRPr="000F733E">
              <w:rPr>
                <w:bCs/>
              </w:rPr>
              <w:t>)</w:t>
            </w:r>
          </w:p>
        </w:tc>
      </w:tr>
      <w:tr w:rsidR="00010A2D" w:rsidRPr="000F733E">
        <w:trPr>
          <w:cantSplit/>
          <w:trHeight w:val="542"/>
        </w:trPr>
        <w:tc>
          <w:tcPr>
            <w:tcW w:w="4706" w:type="dxa"/>
            <w:tcBorders>
              <w:top w:val="single" w:sz="4" w:space="0" w:color="auto"/>
              <w:left w:val="single" w:sz="4" w:space="0" w:color="auto"/>
              <w:bottom w:val="single" w:sz="4" w:space="0" w:color="auto"/>
              <w:right w:val="single" w:sz="4" w:space="0" w:color="auto"/>
            </w:tcBorders>
          </w:tcPr>
          <w:p w:rsidR="00010A2D" w:rsidRPr="000F733E" w:rsidRDefault="00010A2D" w:rsidP="00B44C8F">
            <w:pPr>
              <w:jc w:val="center"/>
            </w:pPr>
            <w:r w:rsidRPr="000F733E">
              <w:t>Kontrolės komitetas</w:t>
            </w:r>
          </w:p>
        </w:tc>
        <w:tc>
          <w:tcPr>
            <w:tcW w:w="1920" w:type="dxa"/>
            <w:tcBorders>
              <w:top w:val="single" w:sz="4" w:space="0" w:color="auto"/>
              <w:left w:val="single" w:sz="4" w:space="0" w:color="auto"/>
              <w:bottom w:val="single" w:sz="4" w:space="0" w:color="auto"/>
              <w:right w:val="single" w:sz="4" w:space="0" w:color="auto"/>
            </w:tcBorders>
          </w:tcPr>
          <w:p w:rsidR="00010A2D" w:rsidRPr="000F733E" w:rsidRDefault="00E4023C" w:rsidP="000F733E">
            <w:pPr>
              <w:ind w:firstLine="0"/>
              <w:jc w:val="left"/>
              <w:rPr>
                <w:bCs/>
              </w:rPr>
            </w:pPr>
            <w:r w:rsidRPr="000F733E">
              <w:rPr>
                <w:bCs/>
              </w:rPr>
              <w:t>4 (201</w:t>
            </w:r>
            <w:r w:rsidR="000F733E">
              <w:rPr>
                <w:bCs/>
              </w:rPr>
              <w:t>4</w:t>
            </w:r>
            <w:r w:rsidRPr="000F733E">
              <w:rPr>
                <w:bCs/>
              </w:rPr>
              <w:t xml:space="preserve"> m. – </w:t>
            </w:r>
            <w:r w:rsidR="000F733E">
              <w:rPr>
                <w:bCs/>
              </w:rPr>
              <w:t>4</w:t>
            </w:r>
            <w:r w:rsidRPr="000F733E">
              <w:rPr>
                <w:bCs/>
              </w:rPr>
              <w:t>)</w:t>
            </w:r>
          </w:p>
        </w:tc>
        <w:tc>
          <w:tcPr>
            <w:tcW w:w="2160" w:type="dxa"/>
            <w:tcBorders>
              <w:top w:val="single" w:sz="4" w:space="0" w:color="auto"/>
              <w:left w:val="single" w:sz="4" w:space="0" w:color="auto"/>
              <w:bottom w:val="single" w:sz="4" w:space="0" w:color="auto"/>
              <w:right w:val="single" w:sz="4" w:space="0" w:color="auto"/>
            </w:tcBorders>
          </w:tcPr>
          <w:p w:rsidR="00010A2D" w:rsidRPr="000F733E" w:rsidRDefault="000F733E" w:rsidP="000F733E">
            <w:pPr>
              <w:ind w:firstLine="0"/>
              <w:jc w:val="left"/>
              <w:rPr>
                <w:bCs/>
              </w:rPr>
            </w:pPr>
            <w:r>
              <w:rPr>
                <w:bCs/>
              </w:rPr>
              <w:t>9</w:t>
            </w:r>
            <w:r w:rsidR="00E4023C" w:rsidRPr="000F733E">
              <w:rPr>
                <w:bCs/>
              </w:rPr>
              <w:t xml:space="preserve"> (201</w:t>
            </w:r>
            <w:r>
              <w:rPr>
                <w:bCs/>
              </w:rPr>
              <w:t>4</w:t>
            </w:r>
            <w:r w:rsidR="00E4023C" w:rsidRPr="000F733E">
              <w:rPr>
                <w:bCs/>
              </w:rPr>
              <w:t xml:space="preserve"> m. – </w:t>
            </w:r>
            <w:r w:rsidR="002E6149" w:rsidRPr="000F733E">
              <w:rPr>
                <w:bCs/>
              </w:rPr>
              <w:t>1</w:t>
            </w:r>
            <w:r>
              <w:rPr>
                <w:bCs/>
              </w:rPr>
              <w:t>0</w:t>
            </w:r>
            <w:r w:rsidR="00E4023C" w:rsidRPr="000F733E">
              <w:rPr>
                <w:bCs/>
              </w:rPr>
              <w:t>)</w:t>
            </w:r>
          </w:p>
        </w:tc>
      </w:tr>
      <w:tr w:rsidR="00010A2D" w:rsidRPr="000F733E">
        <w:trPr>
          <w:cantSplit/>
          <w:trHeight w:val="395"/>
        </w:trPr>
        <w:tc>
          <w:tcPr>
            <w:tcW w:w="4706" w:type="dxa"/>
            <w:vMerge w:val="restart"/>
            <w:tcBorders>
              <w:top w:val="single" w:sz="4" w:space="0" w:color="auto"/>
              <w:left w:val="single" w:sz="4" w:space="0" w:color="auto"/>
              <w:bottom w:val="single" w:sz="4" w:space="0" w:color="auto"/>
              <w:right w:val="single" w:sz="4" w:space="0" w:color="auto"/>
            </w:tcBorders>
          </w:tcPr>
          <w:p w:rsidR="00010A2D" w:rsidRPr="000F733E" w:rsidRDefault="00010A2D" w:rsidP="00B44C8F">
            <w:pPr>
              <w:ind w:left="807"/>
              <w:jc w:val="center"/>
              <w:rPr>
                <w:b/>
                <w:bCs/>
              </w:rPr>
            </w:pPr>
          </w:p>
          <w:p w:rsidR="00010A2D" w:rsidRPr="000F733E" w:rsidRDefault="00010A2D" w:rsidP="00B44C8F">
            <w:pPr>
              <w:ind w:left="807"/>
              <w:jc w:val="center"/>
              <w:rPr>
                <w:b/>
                <w:bCs/>
              </w:rPr>
            </w:pPr>
            <w:r w:rsidRPr="000F733E">
              <w:rPr>
                <w:b/>
                <w:bCs/>
              </w:rPr>
              <w:t>Iš viso</w:t>
            </w:r>
          </w:p>
        </w:tc>
        <w:tc>
          <w:tcPr>
            <w:tcW w:w="1920" w:type="dxa"/>
            <w:vMerge w:val="restart"/>
            <w:tcBorders>
              <w:top w:val="single" w:sz="4" w:space="0" w:color="auto"/>
              <w:left w:val="single" w:sz="4" w:space="0" w:color="auto"/>
              <w:bottom w:val="single" w:sz="4" w:space="0" w:color="auto"/>
              <w:right w:val="single" w:sz="4" w:space="0" w:color="auto"/>
            </w:tcBorders>
          </w:tcPr>
          <w:p w:rsidR="00010A2D" w:rsidRPr="000F733E" w:rsidRDefault="00010A2D" w:rsidP="005A7843">
            <w:pPr>
              <w:jc w:val="left"/>
              <w:rPr>
                <w:b/>
                <w:bCs/>
              </w:rPr>
            </w:pPr>
          </w:p>
          <w:p w:rsidR="00010A2D" w:rsidRPr="000F733E" w:rsidRDefault="000F733E" w:rsidP="000F733E">
            <w:pPr>
              <w:ind w:firstLine="0"/>
              <w:jc w:val="left"/>
              <w:rPr>
                <w:b/>
                <w:bCs/>
              </w:rPr>
            </w:pPr>
            <w:r>
              <w:rPr>
                <w:b/>
                <w:bCs/>
              </w:rPr>
              <w:t>37</w:t>
            </w:r>
            <w:r w:rsidR="00E4023C" w:rsidRPr="000F733E">
              <w:rPr>
                <w:b/>
                <w:bCs/>
              </w:rPr>
              <w:t xml:space="preserve"> (201</w:t>
            </w:r>
            <w:r>
              <w:rPr>
                <w:b/>
                <w:bCs/>
              </w:rPr>
              <w:t>4</w:t>
            </w:r>
            <w:r w:rsidR="00E4023C" w:rsidRPr="000F733E">
              <w:rPr>
                <w:b/>
                <w:bCs/>
              </w:rPr>
              <w:t xml:space="preserve"> m. – </w:t>
            </w:r>
            <w:r>
              <w:rPr>
                <w:b/>
                <w:bCs/>
              </w:rPr>
              <w:t>40</w:t>
            </w:r>
            <w:r w:rsidR="00E4023C" w:rsidRPr="000F733E">
              <w:rPr>
                <w:b/>
                <w:bCs/>
              </w:rPr>
              <w:t>)</w:t>
            </w:r>
          </w:p>
        </w:tc>
        <w:tc>
          <w:tcPr>
            <w:tcW w:w="2160" w:type="dxa"/>
            <w:vMerge w:val="restart"/>
            <w:tcBorders>
              <w:top w:val="single" w:sz="4" w:space="0" w:color="auto"/>
              <w:left w:val="single" w:sz="4" w:space="0" w:color="auto"/>
              <w:bottom w:val="single" w:sz="4" w:space="0" w:color="auto"/>
              <w:right w:val="single" w:sz="4" w:space="0" w:color="auto"/>
            </w:tcBorders>
          </w:tcPr>
          <w:p w:rsidR="00010A2D" w:rsidRPr="000F733E" w:rsidRDefault="00010A2D" w:rsidP="005A7843">
            <w:pPr>
              <w:jc w:val="left"/>
              <w:rPr>
                <w:b/>
                <w:bCs/>
              </w:rPr>
            </w:pPr>
          </w:p>
          <w:p w:rsidR="00010A2D" w:rsidRPr="000F733E" w:rsidRDefault="005A7843" w:rsidP="000F733E">
            <w:pPr>
              <w:ind w:firstLine="0"/>
              <w:jc w:val="left"/>
              <w:rPr>
                <w:b/>
                <w:bCs/>
              </w:rPr>
            </w:pPr>
            <w:r w:rsidRPr="000F733E">
              <w:rPr>
                <w:b/>
                <w:bCs/>
              </w:rPr>
              <w:t>3</w:t>
            </w:r>
            <w:r w:rsidR="000F733E">
              <w:rPr>
                <w:b/>
                <w:bCs/>
              </w:rPr>
              <w:t>28</w:t>
            </w:r>
            <w:r w:rsidRPr="000F733E">
              <w:rPr>
                <w:b/>
                <w:bCs/>
              </w:rPr>
              <w:t xml:space="preserve"> (201</w:t>
            </w:r>
            <w:r w:rsidR="000F733E">
              <w:rPr>
                <w:b/>
                <w:bCs/>
              </w:rPr>
              <w:t>4</w:t>
            </w:r>
            <w:r w:rsidRPr="000F733E">
              <w:rPr>
                <w:b/>
                <w:bCs/>
              </w:rPr>
              <w:t xml:space="preserve"> m. – </w:t>
            </w:r>
            <w:r w:rsidR="000F733E">
              <w:rPr>
                <w:b/>
                <w:bCs/>
              </w:rPr>
              <w:t>339</w:t>
            </w:r>
            <w:r w:rsidRPr="000F733E">
              <w:rPr>
                <w:b/>
                <w:bCs/>
              </w:rPr>
              <w:t>)</w:t>
            </w:r>
          </w:p>
        </w:tc>
      </w:tr>
    </w:tbl>
    <w:p w:rsidR="00010A2D" w:rsidRPr="00630125" w:rsidRDefault="00010A2D" w:rsidP="00010A2D">
      <w:pPr>
        <w:ind w:firstLine="600"/>
        <w:rPr>
          <w:i/>
        </w:rPr>
      </w:pPr>
    </w:p>
    <w:p w:rsidR="00010A2D" w:rsidRPr="00630125" w:rsidRDefault="00010A2D" w:rsidP="00010A2D">
      <w:pPr>
        <w:ind w:firstLine="600"/>
        <w:rPr>
          <w:i/>
        </w:rPr>
      </w:pPr>
    </w:p>
    <w:p w:rsidR="00010A2D" w:rsidRPr="00630125" w:rsidRDefault="00010A2D" w:rsidP="00010A2D">
      <w:pPr>
        <w:ind w:firstLine="600"/>
        <w:rPr>
          <w:i/>
        </w:rPr>
      </w:pPr>
    </w:p>
    <w:p w:rsidR="00010A2D" w:rsidRPr="00630125" w:rsidRDefault="00010A2D" w:rsidP="00010A2D">
      <w:pPr>
        <w:ind w:firstLine="600"/>
        <w:rPr>
          <w:i/>
        </w:rPr>
      </w:pPr>
    </w:p>
    <w:p w:rsidR="00010A2D" w:rsidRPr="00630125" w:rsidRDefault="00010A2D" w:rsidP="00C57368">
      <w:pPr>
        <w:ind w:firstLine="0"/>
        <w:rPr>
          <w:i/>
        </w:rPr>
      </w:pPr>
      <w:r w:rsidRPr="00630125">
        <w:rPr>
          <w:i/>
        </w:rPr>
        <w:t xml:space="preserve">                                    </w:t>
      </w: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963AE3" w:rsidRDefault="00963AE3" w:rsidP="00A01088">
      <w:pPr>
        <w:tabs>
          <w:tab w:val="num" w:pos="720"/>
          <w:tab w:val="left" w:pos="1247"/>
          <w:tab w:val="left" w:pos="1701"/>
          <w:tab w:val="left" w:pos="1843"/>
        </w:tabs>
        <w:jc w:val="left"/>
        <w:rPr>
          <w:b/>
        </w:rPr>
      </w:pPr>
    </w:p>
    <w:p w:rsidR="00766CA7" w:rsidRPr="00143C97" w:rsidRDefault="00010A2D" w:rsidP="00A01088">
      <w:pPr>
        <w:tabs>
          <w:tab w:val="num" w:pos="720"/>
          <w:tab w:val="left" w:pos="1247"/>
          <w:tab w:val="left" w:pos="1701"/>
          <w:tab w:val="left" w:pos="1843"/>
        </w:tabs>
        <w:jc w:val="left"/>
        <w:rPr>
          <w:i/>
        </w:rPr>
      </w:pPr>
      <w:r w:rsidRPr="00143C97">
        <w:rPr>
          <w:b/>
        </w:rPr>
        <w:t>Ūkio plėtros ir ekologijos komitetas (pirmininkas Albinas Maslauskas)</w:t>
      </w:r>
      <w:r w:rsidRPr="000F733E">
        <w:t xml:space="preserve"> svarstė klausimus dėl</w:t>
      </w:r>
      <w:r w:rsidR="00870420" w:rsidRPr="000F733E">
        <w:t>:</w:t>
      </w:r>
      <w:r w:rsidRPr="000F733E">
        <w:t xml:space="preserve"> </w:t>
      </w:r>
      <w:r w:rsidR="000F733E" w:rsidRPr="000F733E">
        <w:t>pritarimo infrastruktūros plėtros ir infrastruktūro</w:t>
      </w:r>
      <w:r w:rsidR="000F733E">
        <w:t xml:space="preserve">s plėtros finansavimo sutarčiai;  Rietavo savivaldybės butų ir kitų patalpų savininkų bendrijų valdymo organų, jungtinės veiklos sutartimi įgaliotų asmenų ir Savivaldybės vykdomosios institucijos paskirtų bendrojo naudojimo objektų administratorių veiklos, susijusios su įstatymų ir kitų teisės aktų jiems priskirtų funkcijų vykdymu, priežiūros ir kontrolės taisyklių patvirtinimo; Rietavo savivaldybės būsto fondo ir socialinio būsto, </w:t>
      </w:r>
      <w:r w:rsidR="000F733E">
        <w:lastRenderedPageBreak/>
        <w:t xml:space="preserve">kaip Savivaldybės būsto fondo dalies, sąrašų patvirtinimo; Rietavo savivaldybės vietinės reikšmės kelių priežiūros ir plėtros programos 2014 metų lėšų panaudojimo ataskaitos; Rietavo savivaldybės 2014 metų valstybės lėšomis finansuojamų melioracijos statinių priežiūros ir remonto darbų įvykdymo ataskaitos patvirtinimo; sutikimo parduoti bendrai naudojamus elektros energetikos objektus akcinei bendrovei „Lesto“; Rietavo savivaldybės aplinkos apsaugos rėmimo specialiosios programos 2014 metų priemonių vykdymo ataskaitos patvirtinimo; Rietavo savivaldybės aplinkos apsaugos rėmimo specialiosios programos 2014 metų sąmatos likučių paskirstymo 2015 m. patvirtinimo; Rietavo savivaldybės aplinkos apsaugos rėmimo specialiosios programos 2015 metų sąmatos patvirtinimo; Rietavo savivaldybės komunalinių atliekų surinkimo ir tvarkymo 2014 m. sąmatos likučių paskirstymo 2015 metams ir komunalinių atliekų surinkimo ir tvarkymo 2015 metų sąmatos patvirtinimo; delegavimo į VšĮ „Rietavo žirgynas“ visuotinį dalininkų susirinkimą; patalpų nuomos viešo konkurso būdu; Rietavo savivaldybės 2015 metų valstybės lėšomis finansuojamų melioracijos statinių priežiūros ir remonto darbų sąrašo patvirtinimo; Rietavo savivaldybės 2015 m. biudžeto projekto; Komiteto pirmininko ir pirmininko pavaduotojo išrinkimo; Rietavo savivaldybės 2014-2020 metų atliekų tvarkymo plano patvirtinimo; Rietavo savivaldybės atstovo delegavimo į UAB „Telšių regiono atliekų tvarkymo centras“ visuotinį akcininkų susirinkimą; UAB „Rietavo komunalinis ūkis“ 2014 metų metinio pranešimo, metinės finansinės atskaitomybės, pelno (nuostolių) patvirtinimo; Rietavo savivaldybėje esančių pastatų ir statinių, kurie yra neprižiūrimi ir apleisti ir nenaudojami arba naudojami ne pagal paskirtį, sąrašo sudarymo ir keitimo tvarkos aprašo patvirtinimo; parduodamų Rietavo savivaldybės būstų ir pagalbinio ūkio paskirties pastatų sąrašo patvirtinimo; patalpų nuomos termino pratęsimo; 2009 m. rugsėjo 10 d. Rietavo savivaldybės tarybos sprendimo Nr. T1-262 „Dėl Rietavo savivaldybės gyvenamojo ploto priskyrimo atskiriems fondams tvarkos aprašo patvirtinimo“ pripažinimo netekusiu galios; Rietavo savivaldybės privatizavimo komisijos sudarymo ir jos nuostatų patvirtinimo; Rietavo savivaldybės smulkaus ir vidutinio verslo ir žemės ūkio rėmimo projektų ir paraiškų vertinimo komisijos sudarymo; patalpų nuomos termino pratęsimo; Kelių priežiūros ir plėtros programos finansavimo lėšų 2015 metų sąmatos patvirtinimo; Rietavo savivaldybės aplinkos apsaugos rėmimo specialiosios programos 2015 metų sąmatos pakeitimo; Rietavo savivaldybės gyvenamųjų vietovių (kaimų, gyvenviečių), miesto ir seniūnijų ribų, ploto nustatymo ir patvirtinimo plano; </w:t>
      </w:r>
      <w:r w:rsidR="00143C97">
        <w:t xml:space="preserve">mokesčio už naudojimąsi Rietavo savivaldybės vietinės reikšmės viešaisiais keliais didžiagabaritėmis ir (ar) sunkiasvorėmis transporto priemonėmis ar jų junginiais dydžių nustatymo ir mokesčio mokėjimo, administravimo, priežiūros ir leidimų išdavimo tvarkos aprašo patvirtinimo; nekilnojamojo turto mokesčio tarifų nustatymo 2016 metams; neapmokestinamų žemės sklypų dydžių Rietavo savivaldybėje nustatymo 2015 metams; Rietavo savivaldybėje esančių neprižiūrimų, apleistų ir nenaudojamų arba naudojamų ne pagal paskirtį pastatų ir statinių, kuriems 2015 metais taikomas 3 procentų nekilnojamojo turto mokesčio tarifas, sąrašo patvirtinimo; žemės mokesčio tarifų 2016 metų mokestiniam laikotarpiui nustatymo; Rietavo savivaldybės tarybos 2012 m. vasario 9 d. sprendimo Nr. T1-37 „Dėl Rietavo savivaldybės saugaus eismo komisijos sudarymo“ 1 punkto pakeitimo; Rietavo savivaldybės kaimo teritorijų vystymo ir žemės ūkio plėtros programos paramos žemės ūkiui teikimo taisyklių patvirtinimo; </w:t>
      </w:r>
      <w:r w:rsidR="000F733E">
        <w:t>pritarimo UAB „Rietavo komunalinis ūkis“ įgyvendinamam projektui „Naujos Rietavo miesto katilinės statyba įrengiant 4MW galios vandens šildymo katilus ir dūmų kondensacinį ekonomaizerį“ ir dalyvavimo jame</w:t>
      </w:r>
      <w:r w:rsidR="00143C97">
        <w:t xml:space="preserve"> vykdančiojo partnerio teisėmis; Rietavo savivaldybės daugiabučių gyvenamųjų namų bendrojo naudojimo objektų administravimo maksimalaus tarifo apskaičiavimo tvarkos aprašo patvirtinimo; valstybinės žemės nuomos mokesčio tarifų ir neapmokestinamų dydžių 2015 metų mokestiniam laikotarpiui nustatymo; licencijų verstis mažmenine prekyba alkoholiniais gėrimais išdavimo tvarkos aprašo patvirtinimo; dalyvavimo asociacijoje „Rietavo miesto vietos veiklos grupė“ veikloje; negyvenamųjų patalpų, esančių Medingėnų sen., Medingėnų k., Minijos g. 9, nuomos; patalpų nuomos termino atnaujinimo; Rietavo savivaldybės atstovo delegavimo į UAB „Telšių regiono atliekų tvarkymo centras“ neeilinį visuotinį akcininkų susirinkimą; Rietavo savivaldybės tarybos 2015 metų antrojo pusmečio darbo plano patvirtinimo; projekto „Pastato Parko g. 10, Rietave, </w:t>
      </w:r>
      <w:r w:rsidR="00143C97">
        <w:lastRenderedPageBreak/>
        <w:t xml:space="preserve">renovacija“; Rietavo savivaldybės teritorijoje esančių kapinių sąrašo sudarymo ir jo skelbimo Savivaldybės interneto svetainėje tvarkos aprašo patvirtinimo; patalpų nuomos termino pratęsimo; patalpų nuomos sutarties pratęsimo; patalpų suteikimo Lietuvos Respublikos žemės ūkio rūmams; Rietavo savivaldybės lėšų, gautų už parduotus valstybinės žemės sklypus, naudojimo ir apskaitos tvarkos aprašo patvirtinimo; panaudos sutarties termino pratęsimo; Rietavo savivaldybės būsto fondo ir socialinio būsto, kaip Savivaldybės būsto fondo dalies sąrašų dalinio pakeitimo; Rietavo savivaldybės parduodamų būstų ir pagalbinio ūkio paskirties pastatų sąrašo papildymo;  Savivaldybės būstų pardavimo; Rietavo savivaldybės aplinkos apsaugos rėmimo specialiosios programos 2014 metų sąmatos likučių paskirstymo 2015 m. pakeitimo; fiksuotų pajamų mokesčio dydžių ir lengvatų, taikomų įsigyjant verslo liudijimus 2016 metais vykdomai veiklai, nustatymo; Savivaldybės būsto nuomos; Girėnų vandens telkinio; 2016 metų viešųjų darbų programos patvirtinimo; Rietavo savivaldybės būsto ir pagalbinio ūkio paskirties pastatų įkeitimo tvarkos aprašo patvirtinimo; Rietavo savivaldybės parduodamų būstų ir pagalbinio ūkio paskirties pastatų sąrašo papildymo; Rietavo savivaldybės tarybos 2009 m. kovo 26 d. sprendimu Nr. T1-83 patvirtintų Rietavo savivaldybės komunalinių atliekų tvarkymo taisyklių 22 punkto pakeitimo;  Rietavo savivaldybės tarybos 2015 m. liepos 9 d. sprendimo Nr. T1-103 „Dėl licencijų verstis mažmenine prekyba alkoholiniais gėrimais išdavimo tvarkos aprašo patvirtinimo“ 1 punkto pripažinimo netekusiu galios; biudžetinės įstaigos Rietavo savivaldybės priešgaisrinės tarnybos steigimo; Rietavo savivaldybės atstovo delegavimo į UAB „Telšių regiono atliekų tvarkymo centras“ neeilinį visuotinį akcininkų susirinkimą; Rietavo savivaldybės tarybos 2016 metų pirmojo pusmečio darbo plano patvirtinimo; Kelių priežiūros ir plėtros programos finansavimo lėšų 2015 metų sąmatos pakeitimo; </w:t>
      </w:r>
      <w:r w:rsidR="00143C97" w:rsidRPr="00143C97">
        <w:rPr>
          <w:szCs w:val="24"/>
        </w:rPr>
        <w:t xml:space="preserve">Rietavo savivaldybės tarybos 2005 m. sausio 27 d. sprendimo Nr. T1-2 „Dėl regioninės atliekų tvarkymo sistemos sukūrimo“ 1.2., 1.3. ir 1.4. punktų pakeitimo; </w:t>
      </w:r>
      <w:r w:rsidR="00143C97">
        <w:t xml:space="preserve">2016 metų viešųjų darbų programos patvirtinimo; Rietavo savivaldybės būsto ir pagalbinio ūkio paskirties pastatų įkeitimo tvarkos aprašo patvirtinimo; Rietavo savivaldybės parduodamų būstų ir pagalbinio ūkio paskirties pastatų sąrašo papildymo 16 punktu; Rietavo savivaldybės tarybos 2009 m. kovo 26 d. sprendimu Nr. T1-83 patvirtintų Rietavo savivaldybės komunalinių atliekų tvarkymo taisyklių 22 punkto pakeitimo; Rietavo savivaldybės tarybos 2015 m. liepos 9 d. sprendimo Nr. T1-103 „Dėl licencijų verstis mažmenine prekyba alkoholiniais gėrimais išdavimo tvarkos aprašo patvirtinimo“ 1 punkto pripažinimo netekusiu galios; biudžetinės įstaigos Rietavo savivaldybės priešgaisrinės tarnybos steigimo; Rietavo savivaldybės atstovo delegavimo į UAB „Telšių regiono atliekų tvarkymo centras“ neeilinį visuotinį akcininkų susirinkimą; Rietavo savivaldybės tarybos 2016 metų pirmojo pusmečio darbo plano patvirtinimo; Kelių priežiūros ir plėtros programos finansavimo lėšų 2015 metų sąmatos pakeitimo; </w:t>
      </w:r>
      <w:r w:rsidR="00143C97" w:rsidRPr="00143C97">
        <w:rPr>
          <w:szCs w:val="24"/>
        </w:rPr>
        <w:t>Rietavo savivaldybės tarybos 2005 m. sausio 27 d. sprendimo Nr. T1-2 „Dėl regioninės atliekų tvarkymo sistemos sukūrimo“ 1.2., 1.3. ir 1.4. punktų pakeitimo.</w:t>
      </w:r>
    </w:p>
    <w:p w:rsidR="00143C97" w:rsidRPr="00143C97" w:rsidRDefault="00143C97" w:rsidP="00A01088">
      <w:pPr>
        <w:tabs>
          <w:tab w:val="num" w:pos="360"/>
          <w:tab w:val="left" w:pos="1247"/>
          <w:tab w:val="left" w:pos="1701"/>
          <w:tab w:val="left" w:pos="1843"/>
        </w:tabs>
        <w:ind w:left="426" w:firstLine="0"/>
        <w:jc w:val="left"/>
        <w:rPr>
          <w:i/>
        </w:rPr>
      </w:pPr>
    </w:p>
    <w:p w:rsidR="00055417" w:rsidRDefault="00010A2D" w:rsidP="00A01088">
      <w:pPr>
        <w:tabs>
          <w:tab w:val="num" w:pos="0"/>
          <w:tab w:val="left" w:pos="1701"/>
        </w:tabs>
        <w:jc w:val="left"/>
      </w:pPr>
      <w:r w:rsidRPr="00055417">
        <w:rPr>
          <w:b/>
        </w:rPr>
        <w:t>Švietimo, kultūros ir sporto komitete (pirmininkė Janina Drevinskienė)</w:t>
      </w:r>
      <w:r w:rsidRPr="00143C97">
        <w:t xml:space="preserve"> buvo svarstyti klausimai dėl</w:t>
      </w:r>
      <w:r w:rsidR="00870420" w:rsidRPr="00143C97">
        <w:t>:</w:t>
      </w:r>
      <w:r w:rsidRPr="00143C97">
        <w:t xml:space="preserve"> </w:t>
      </w:r>
      <w:r w:rsidR="00497FE9">
        <w:t xml:space="preserve">Rietavo savivaldybės švietimo įstaigų vadovų tarnybinių atlyginimų ir personalinių priedų nustatymo; Rietavo savivaldybės 2015 m. biudžeto projekto; Komiteto pirmininko ir pirmininko pavaduotojo išrinkimo; Rietavo savivaldybės švietimo įstaigų klasių komplektų ir priešmokyklinio ugdymo grupių skaičiaus 2015-2016 mokslo metais patvirtinimo; Nevyriausybinių organizacijų projektų, jaunimo iniciatyvų ir laisvalaikio užimtumo plėtojimo projektų vertinimo komisijos patvirtinimo; Rietavo savivaldybės sporto tarybos sudarymo ir jos veiklos nuostatų patvirtinimo; lėšų sporto klubų ir trenerių projektams finansuoti paskyrimo komisijos sudarymo; Rietavo savivaldybės jaunimo reikalų tarybos sudėties patvirtinimo; </w:t>
      </w:r>
      <w:r w:rsidR="00497FE9" w:rsidRPr="00055417">
        <w:rPr>
          <w:szCs w:val="24"/>
        </w:rPr>
        <w:t xml:space="preserve">Rietavo savivaldybės tarybos 2014 m. gruodžio 18 d. sprendimo Nr. T1-231 „Dėl patalpų, įgarsinimo aparatūros nuomos ir kitų Rietavo savivaldybės kultūros centro teikiamų atlygintinų paslaugų kainų nustatymo“ papildymo; Rietavo savivaldybės jaunimo iniciatyvų ir laisvalaikio užimtumo plėtojimo projektų finansavimo konkurso nuostatų, patvirtintų 2011 m. balandžio 28 d. Rietavo savivaldybės tarybos sprendimu Nr. T1-44, 16, 22, 31 ir 32.1. punktų ir 1 ir 2 priedų pakeitimo; </w:t>
      </w:r>
      <w:r w:rsidR="00055417">
        <w:t xml:space="preserve">pritarimo Rietavo savivaldybės kultūros įstaigų 2014 metų veiklos ataskaitoms; pritarimo Rietavo </w:t>
      </w:r>
      <w:r w:rsidR="00055417">
        <w:lastRenderedPageBreak/>
        <w:t>atviro jaunimo centro 2014 metų veiklos ataskaitai; Rietavo lopšelio-darželio darbo vasaros metu; Rietavo savivaldybės tarybos 2012 m. birželio 20 d. sprendimo Nr. T1-132 1 punkto pakeitimo; Rietavo savivaldybės Garbės piliečio vardo suteikimo komisijos sudarymo ir jos veiklos nuostatų patvirtinimo; Rietavo savivaldybės tarybos 2014 m. lapkričio 27 d. sprendimo Nr. T1-192 „Dėl Rietavo Oginskių kultūros istorijos muziejaus teikiamų paslaugų, medienos užpajamavimo ir pardavimo kainų patvirtinimo“ priedo 1 punkto pakeitimo; Rietavo Oginskių kultūros istorijos muziejaus išleistos kompaktinės plokštelės „M. K. Oginskio romansai ir polonezai“ kainos nustatymo; sutikimo perimti valstybės turtą; apmokėjimo už pagrindinės sesijos valstybinių ir mokyklinių brandos egzaminų vykdymą, mokyklinių brandos egzaminų kandidatų darbų vertinimą ir apeliacijų nagrinėjimą, pakartotinės sesijos valstybinių ir mokyklinių brandos egzaminų vykdymą, kandidatų darbų vertinimą ir apeliacijų nagrinėjimą tvarkos aprašo patvirtinimo; Rietavo savivaldybės kultūros ir socialinių paslaugų įstaigų vadovų tarnybinių atlyginimų ir priedų nustatymo; mokslo metų pradžios ir trukmės nustatymo Rietavo Mykolo Kleopo Oginskio meno mokykloje; Rietavo savivaldybės sporto klubų rėmimo nuostatų patvirtinimo; Rietavo savivaldybės tarybos 2015 metų antrojo pusmečio darbo plano patvirtinimo; Rietavo savivaldybės biudžetinių įstaigų etatų skaičiaus patvirtinimo; Rietavo savivaldybės švietimo įstaigų klasių komplektų ir priešmokyklinio ugdymo grupių skaičiaus 2015-2016 mokslo metais patvirtinimo; mokinio krepšelio lėšų skyrimo; Rietavo savivaldybės švietimo įstaigų vadovų tarnybinių atlyginimų ir personalinių priedų nustatymo; pritarimo Rietavo savivaldybės švietimo įstaigų 2014 metų veiklos ataskaitoms; Rietavo savivaldybės mokytojų ir pagalbos mokiniams specialistų 2016-2018 metų atestacijos programų patvirtinimo; Rietavo savivaldybės studijų rėmimo programos lėšų skyrimo tvarkos aprašo 9 punkto pakeitimo; Rietavo savivaldybės tarybos 2016 metų pirmojo pusmečio darbo plano patvirtinimo ir kt.</w:t>
      </w:r>
    </w:p>
    <w:p w:rsidR="00055417" w:rsidRDefault="00055417" w:rsidP="00A01088">
      <w:pPr>
        <w:tabs>
          <w:tab w:val="num" w:pos="0"/>
          <w:tab w:val="left" w:pos="1701"/>
        </w:tabs>
        <w:jc w:val="left"/>
      </w:pPr>
    </w:p>
    <w:p w:rsidR="00497F38" w:rsidRPr="00497F38" w:rsidRDefault="00010A2D" w:rsidP="00A01088">
      <w:pPr>
        <w:tabs>
          <w:tab w:val="num" w:pos="0"/>
          <w:tab w:val="num" w:pos="142"/>
          <w:tab w:val="num" w:pos="786"/>
          <w:tab w:val="left" w:pos="1701"/>
          <w:tab w:val="left" w:pos="1843"/>
        </w:tabs>
        <w:jc w:val="left"/>
        <w:rPr>
          <w:i/>
        </w:rPr>
      </w:pPr>
      <w:r w:rsidRPr="00497F38">
        <w:rPr>
          <w:b/>
        </w:rPr>
        <w:t xml:space="preserve">Sveikatos ir socialinės paramos komitetas (pirmininkas </w:t>
      </w:r>
      <w:r w:rsidR="00055417" w:rsidRPr="00497F38">
        <w:rPr>
          <w:b/>
        </w:rPr>
        <w:t>Saulius Jonušas</w:t>
      </w:r>
      <w:r w:rsidRPr="00497F38">
        <w:rPr>
          <w:b/>
        </w:rPr>
        <w:t>)</w:t>
      </w:r>
      <w:r w:rsidRPr="00055417">
        <w:t xml:space="preserve"> 201</w:t>
      </w:r>
      <w:r w:rsidR="00055417" w:rsidRPr="00055417">
        <w:t>5</w:t>
      </w:r>
      <w:r w:rsidRPr="00055417">
        <w:t xml:space="preserve"> m. svarstė klausim</w:t>
      </w:r>
      <w:r w:rsidR="00DA0C62" w:rsidRPr="00055417">
        <w:t>us</w:t>
      </w:r>
      <w:r w:rsidRPr="00055417">
        <w:t xml:space="preserve"> dėl</w:t>
      </w:r>
      <w:r w:rsidR="00870420" w:rsidRPr="00055417">
        <w:t>:</w:t>
      </w:r>
      <w:r w:rsidRPr="00497F38">
        <w:rPr>
          <w:i/>
        </w:rPr>
        <w:t xml:space="preserve"> </w:t>
      </w:r>
      <w:r w:rsidR="00497F38">
        <w:t>Rietavo savivaldybės būsto fondo ir socialinio būsto, kaip Savivaldybės būsto fondo dalies, sąrašų patvirtinimo; Rietavo savivaldybės bendruomenės rėmimo fondo 2014 metų lėšų panaudojimo ataskaitos patvirtinimo; Rietavo savivaldybės visuomenės sveikatos rėmimo specialiosios programos 2014 metų priemonėms įgyvendinti lėšų panaudojimo ataskaitos; Rietavo savivaldybės biudžetinių įstaigų etatų skaičiaus patvirtinimo; Rietavo savivaldybės kultūros ir socialinių įstaigų vadovų tarnybinių atlyginimų ir priedų nustatymo; Rietavo savivaldybės 2015 m. biudžeto projekto; Komiteto pirmininko ir pirmininko pavaduotojo išrinkimo; VšĮ Rietavo pirminės sveikatos priežiūros centr</w:t>
      </w:r>
      <w:r w:rsidR="00F449BF">
        <w:t>o</w:t>
      </w:r>
      <w:r w:rsidR="00497F38">
        <w:t xml:space="preserve"> finansinių ataskaitų rinkinio patvirtinimo; pritarimo Rietavo savivaldybės visuomenės sveikatos stebėsenos 2012-2014 m. programos 2014 m. ataskaitai; pritarimo Rietavo savivaldybės vykdomų visuomenės sveikatos priežiūros funkcijų įgyvendinimo 2014 metų ataskaitai; Rietavo savivaldybės visuomenės sveikatos rėmimo specialiosios programos 2015 metų priemonėms įgyvendinti lėšų sąmatos patvirtinimo; socialinės globos kainos nustatymo; Savivaldybės būsto ir socialinio būsto nuomos tvarkos aprašo patvirtinimo; pritarimo VšĮ Rietavo pirminės sveikatos priežiūros centro 2014 metų veiklos ataskaitai ir 2015 m. veiklos užduočių patvirtinimo; Rietavo savivaldybės tarybos 2014 m. balandžio 24 d. sprendimo Nr. T1-70 „Dėl Vietos bendruomenių savivaldos 2013-2015 metų programos lėšų vietos bendruomenių sprendimams įgyvendinti Rietavo savivaldybėje skyrimo ir naudojimo tvarkos aprašo patvirtinimo“ 8 punkto pakeitimo; </w:t>
      </w:r>
      <w:r w:rsidR="00497F38" w:rsidRPr="00497F38">
        <w:rPr>
          <w:szCs w:val="24"/>
        </w:rPr>
        <w:t xml:space="preserve">viešosios įstaigos Plungės rajono greitosios medicinos pagalbos teikiamos paslaugos kainos patvirtinimo; viešosios įstaigos Plungės rajono greitosios medicinos pagalbos 2015 metais siektinų veiklos užduočių nustatymo; </w:t>
      </w:r>
      <w:r w:rsidR="00497F38">
        <w:t xml:space="preserve">pritarimo Rietavo socialinių paslaugų centro veiklos ataskaitai; Rietavo savivaldybės 2015 metų socialinių paslaugų plano patvirtinimo; nepanaudotų Savivaldybės biudžeto lėšų piniginei socialinei paramai skaičiuoti ir mokėti naudojimo; Rietavo savivaldybės bendruomenės rėmimo fondo tarybos sudarymo; Rietavo savivaldybės bendruomenės sveikatos tarybos sudarymo; Rietavo savivaldybės socialinių paslaugų teikimo komisijos sudarymo; specialiųjų poreikių nustatymo ir jų tenkinimo komisijos sudarymo; Rietavo savivaldybės tarybos 2011 m. balandžio 28 d. sprendimo Nr. T1-26 „Dėl Būsto (aplinkos) pritaikymo neįgaliesiems ir socialinių butų skirstymo komisijos sudarymo“ </w:t>
      </w:r>
      <w:r w:rsidR="00497F38">
        <w:lastRenderedPageBreak/>
        <w:t>pripažinimo netekusiu galios; viešosios įstaigos Rietavo pirminės sveikatos priežiūros centro vyriausiojo gydytojo pareiginės algos bazinio dydžio ir priedo nustatymo; Rietavo savivaldybės tarybos 2014 m. lapkričio 27 d. sprendimo Nr. T1-171 „Dėl socialinės globos kainos patvirtinimo“ 1.2. ir  2 punktų pakeitimo; Rietavo savivaldybės būsto nuomos ar išperkamosios būsto nuomos mokesčių dalies kompensacijų mokėjimo ir permokėtų kompensacijų grąžinimo tvarkos aprašo patvirtinimo; Savivaldybės būsto ir socialinio būsto nuomos mokesčio dydžio apskaičiavimo ir jo keitimo; Rietavo savivaldybės visuomenės sveikatos rėmimo specialiosios programos 2015 metų lėšų paskirstymo patvirtinimo; vienkartinių pašalpų skyrimo komisijos sudarymo ir jos veiklos nuostatų patvirtinimo; Rietavo savivaldybės tarybos 2015 metų antrojo pusmečio darbo plano patvirtinimo; būsto nuomos sąlygų pakeitimo; Rietavo savivaldybės būsto fondo ir socialinio būsto, kaip Savivaldybės būsto fondo dalies sąrašų dalinio pakeitimo; Rietavo savivaldybės parduodamų būstų ir pagalbinio ūkio paskirties pastatų sąrašo papildymo; Savivaldybės būstų pardavimo; Rietavo savivaldybės visuomenės sveikatos rėmimo specialiosios programos pajamų ir išlaidų planavimo, sudarymo ir vykdymo tvarkos aprašo patvirtinimo; Rietavo savivaldybės būsto fondo ir socialinio būsto, kaip Savivaldybės būsto fondo dalies, sąrašų dalinio pakeitimo; Rietavo savivaldybės parduodamų būstų ir pagalbinio ūkio paskirties pastatų sąrašo papildymo; Rietavo savivaldybės tarybos veiklos reglamento patvirtinimo; Rietavo savivaldybės parduodamų būstų ir pagalbinio ūkio paskirties pastatų sąrašo papildymo 15 punktu; Savivaldybės būstų pardavimo; lėšų panaudojimo socialiniam būstui pirkti; 2016 metų viešųjų darbų programos patvirtinimo; Rietavo savivaldybės tarybos 2011 m. birželio 16 d. sprendimu Nr. T1-97 patvirtintos Vienkartinės piniginės paramos skyrimo ir mokėjimo tvarkos papildymo 5.6. punktu; Rietavo savivaldybės parduodamų būstų ir pagalbinio ūkio paskirties pastatų sąrašo papildymo 16 punktu; Rietavo savivaldybės socialinio būsto fondo sąrašo papildymo 56 punktu; Rietavo savivaldybės tarybos 2015 metų pirmojo pusmečio darbo plano patvirtinimo.</w:t>
      </w:r>
    </w:p>
    <w:p w:rsidR="00497F38" w:rsidRDefault="00497F38" w:rsidP="00A01088">
      <w:pPr>
        <w:tabs>
          <w:tab w:val="num" w:pos="0"/>
          <w:tab w:val="left" w:pos="1701"/>
        </w:tabs>
        <w:jc w:val="left"/>
      </w:pPr>
    </w:p>
    <w:p w:rsidR="00207555" w:rsidRPr="00A82B7F" w:rsidRDefault="00010A2D" w:rsidP="00A01088">
      <w:pPr>
        <w:tabs>
          <w:tab w:val="num" w:pos="0"/>
          <w:tab w:val="num" w:pos="142"/>
          <w:tab w:val="num" w:pos="786"/>
          <w:tab w:val="left" w:pos="1843"/>
        </w:tabs>
        <w:jc w:val="left"/>
      </w:pPr>
      <w:r w:rsidRPr="00A82B7F">
        <w:rPr>
          <w:b/>
        </w:rPr>
        <w:t>Finansų ir ekonomikos komitetas (pirmininkė Alma Lengvenienė)</w:t>
      </w:r>
      <w:r w:rsidRPr="00497F38">
        <w:t xml:space="preserve"> nagrinėjo klausimus dėl</w:t>
      </w:r>
      <w:r w:rsidR="00870420" w:rsidRPr="00497F38">
        <w:t>:</w:t>
      </w:r>
      <w:r w:rsidRPr="00497F38">
        <w:t xml:space="preserve"> </w:t>
      </w:r>
      <w:r w:rsidR="00497F38">
        <w:t xml:space="preserve">Rietavo savivaldybės 2014 metų komunalinių atliekų surinkimo ir tvarkymo programos lėšų panaudojimo ataskaitos patvirtinimo; Rietavo savivaldybės nevyriausybinių organizacijų rėmimo programos 2014 metų lėšų panaudojimo ataskaitos patvirtinimo; Savivaldybės smulkaus ir vidutinio verslo rėmimo programos 2014 metų lėšų panaudojimo ataskaitos patvirtinimo; Rietavo savivaldybės žemės ūkio rėmimo programos 2014 metų lėšų panaudojimo ataskaitos patvirtinimo; Rietavo savivaldybės privatizavimo fondo 2014 metų lėšų panaudojimo ataskaitos patvirtinimo; Rietavo savivaldybės biudžetinių įstaigų etatų skaičiaus patvirtinimo; turto perėmimo ir jo perdavimo Rietavo Lauryno Ivinskio gimnazijai; Rietavo savivaldybei nuosavybės teise priklausančio turto valdymo, naudojimo ir disponavimo juo ataskaitos rengimo ir teikimo tvarkos aprašo patvirtinimo; Rietavo savivaldybės kultūros ir socialinių įstaigų vadovų tarnybinių atlyginimų ir priedų nustatymo; ilgalaikės paskolos iki 100,0 tūkst. eurų paėmimo ir panaudojimo; Rietavo savivaldybės 2015 m. biudžeto projekto; Komiteto pirmininko ir pirmininko pavaduotojo išrinkimo; UAB „Rietavo komunalinis ūkis“ metinio pranešimo, metinės finansinės atskaitomybės, pelno (nuostolių) patvirtinimo; ligoninės pastato, esančio Rietavo m., Parko g. 8 vertės padidinimo; traktoriaus nuomos įkainio patvirtinimo; turto perėmimo iš VšĮ Rietavo verslo informacijos centro ir jo perdavimo Rietavo savivaldybės kultūros centrui; pritarimo Rietavo savivaldybės administracijos, Savivaldybei pavaldžių ir (arba) jos valdymo sričiai priskirtų viešųjų juridinių asmenų 2014 metų finansų kontrolės būklės ataskaitai; trumpalaikės paskolos paėmimo ir panaudojimo; VšĮ Rietavo pirminės sveikatos priežiūros centras finansinių ataskaitų rinkinio patvirtinimo; Kelių priežiūros ir plėtros programos finansavimo lėšų 2015 metų sąmatos patvirtinimo; Rietavo savivaldybės aplinkos apsaugos rėmimo specialiosios programos 2015 metų sąmatos pakeitimo; </w:t>
      </w:r>
      <w:r w:rsidR="00497F38" w:rsidRPr="00A82B7F">
        <w:rPr>
          <w:szCs w:val="24"/>
        </w:rPr>
        <w:t xml:space="preserve">Rietavo savivaldybės tarybos 2014 m. gruodžio 18 d. sprendimo Nr. T1-231 „Dėl patalpų, įgarsinimo aparatūros nuomos ir kitų Rietavo savivaldybės kultūros centro teikiamų atlygintinų paslaugų kainų nustatymo“ papildymo; </w:t>
      </w:r>
      <w:r w:rsidR="00A82B7F">
        <w:t xml:space="preserve">nekilnojamojo turto mokesčio tarifų nustatymo 2016 metams; neapmokestinamų žemės sklypų dydžių Rietavo savivaldybėje nustatymo 2015 metams; Rietavo savivaldybėje esančių neprižiūrimų, apleistų ir nenaudojamų arba naudojamų ne </w:t>
      </w:r>
      <w:r w:rsidR="00A82B7F">
        <w:lastRenderedPageBreak/>
        <w:t xml:space="preserve">pagal paskirtį pastatų ir statinių, kuriems 2015 metais taikomas 3 procentų nekilnojamojo turto mokesčio tarifas, sąrašo patvirtinimo; žemės mokesčio tarifų 2016 metų mokestiniam laikotarpiui nustatymo; Rietavo savivaldybės skolinimosi tvarkos patvirtinimo; valstybinės žemės nuomos mokesčio tarifų ir neapmokestinamų dydžių 2015 metų mokestiniam laikotarpiui nustatymo; Savivaldybės būsto ir socialinio būsto nuomos mokesčio dydžio apskaičiavimo ir jo keitimo; Rietavo savivaldybės kultūros ir socialinių paslaugų įstaigų vadovų tarnybinių atlyginimų ir priedų nustatymo; projekto „Pastato Parko g. 10, Rietave, renovacija“; Rietavo savivaldybės tarybos 2015 metų antrojo pusmečio darbo plano patvirtinimo; Vietos plėtros 2014-2020 metų strategijos rengimo ir lėšų jos parengimui skyrimo; Kelių priežiūros ir plėtros programos finansavimo lėšų 2015 metų sąmatos pakeitimo; Rietavo savivaldybės aplinkos apsaugos rėmimo specialiosios programos 2014 metų sąmatos likučių paskirstymo 2015 m. patvirtinimo; Rietavo savivaldybės aplinkos apsaugos rėmimo specialiosios programos 2015 metų sąmatos pakeitimo; ilgalaikės paskolos iki 350,0 tūkst. eurų paėmimo ir panaudojimo; </w:t>
      </w:r>
      <w:r w:rsidR="00A82B7F" w:rsidRPr="00A82B7F">
        <w:rPr>
          <w:bCs/>
          <w:szCs w:val="24"/>
        </w:rPr>
        <w:t xml:space="preserve">pritarimo Plungės ir Rietavo rajono kadastro vietovių melioracijos statinių naudotojų asociacijos projektui „Plungės ir Rietavo rajono kadastro vietovių melioracijos statinių naudotojų asociacijos dalies melioracijos statinių rekonstravimas“; </w:t>
      </w:r>
      <w:r w:rsidR="00A82B7F">
        <w:t xml:space="preserve">fiksuotų pajamų mokesčio dydžių ir lengvatų, taikomų įsigyjant verslo liudijimus 2016 metais vykdomai veiklai, nustatymo; Rietavo savivaldybės aplinkos apsaugos rėmimo specialiosios programos 2014 metų sąmatos likučių paskirstymo 2015 m. pakeitimo; valstybinės žemės nuomos mokesčio lengvatos; Rietavo savivaldybės tarybos veiklos reglamento patvirtinimo; UAB „Rietavo komunalinis ūkis“ perskaičiuotų šilumos ir karšto vandens kainų dedamųjų nustatymo; Kelių priežiūros ir plėtros programos finansavimo lėšų 2015 metų sąmatos pakeitimo; lėšų skyrimo Savivaldybės būsto remontui; turto perėmimo iš Rietavo savivaldybės kultūros centro ir jo perdavimo Rietavo savivaldybės Irenėjaus Oginskio viešajai bibliotekai; lėšų panaudojimo socialiniam būstui pirkti; įgyvendinus projektą „Naujos Rietavo miesto katilinės statyba įrengiant 4MW galios vandens šildymo katilus ir dūmų kondensacinį ekonomaizerį“ įgyto turto vertės nustatymo ir įtraukimo į apskaitos registrus; Rietavo savivaldybės aplinkos apsaugos rėmimo specialiosios programos 2014 metų sąmatos likučių paskirstymo 2015 m. pakeitimo; sutikimo perimti valstybės turtą ir jo perdavimo; ilgalaikės paskolos iki 600,0 tūkst. eurų paėmimo ir panaudojimo; Rietavo savivaldybės Privatizavimo fondo panaikinimo; </w:t>
      </w:r>
      <w:r w:rsidR="00A82B7F" w:rsidRPr="00A82B7F">
        <w:rPr>
          <w:bCs/>
          <w:noProof/>
        </w:rPr>
        <w:t xml:space="preserve">Rietavo savivaldybės apmokėjimo už maitinimą mokinių, gyvenančių bendrojo lavinimo mokyklos bendrabutyje, tvarkos aprašo patvirtinimo; </w:t>
      </w:r>
      <w:r w:rsidR="00A82B7F">
        <w:t>Savivaldybės ilgalaikio turto nuomos sutarties nutraukimo ir naujos sutarties sudarymo; Rietavo savivaldybės tarybos 2016 metų pirmojo pusmečio darbo plano patvirtinimo</w:t>
      </w:r>
      <w:r w:rsidR="00207555" w:rsidRPr="00A82B7F">
        <w:t xml:space="preserve">; įstaigų prašymai. </w:t>
      </w:r>
    </w:p>
    <w:p w:rsidR="000D37E7" w:rsidRPr="00630125" w:rsidRDefault="000D37E7" w:rsidP="00A01088">
      <w:pPr>
        <w:tabs>
          <w:tab w:val="num" w:pos="0"/>
          <w:tab w:val="num" w:pos="720"/>
          <w:tab w:val="left" w:pos="1560"/>
        </w:tabs>
        <w:ind w:firstLine="0"/>
        <w:jc w:val="left"/>
        <w:rPr>
          <w:b/>
          <w:i/>
        </w:rPr>
      </w:pPr>
      <w:r w:rsidRPr="00630125">
        <w:rPr>
          <w:b/>
          <w:i/>
        </w:rPr>
        <w:t xml:space="preserve">             </w:t>
      </w:r>
    </w:p>
    <w:p w:rsidR="00A82B7F" w:rsidRPr="00A82B7F" w:rsidRDefault="00010A2D" w:rsidP="00A01088">
      <w:pPr>
        <w:tabs>
          <w:tab w:val="num" w:pos="0"/>
          <w:tab w:val="left" w:pos="1701"/>
        </w:tabs>
        <w:jc w:val="left"/>
        <w:rPr>
          <w:i/>
        </w:rPr>
      </w:pPr>
      <w:r w:rsidRPr="00A82B7F">
        <w:rPr>
          <w:b/>
        </w:rPr>
        <w:t>Kontrolės komitetas</w:t>
      </w:r>
      <w:r w:rsidRPr="00A82B7F">
        <w:t xml:space="preserve"> </w:t>
      </w:r>
      <w:r w:rsidRPr="00A82B7F">
        <w:rPr>
          <w:b/>
        </w:rPr>
        <w:t xml:space="preserve">(pirmininkas </w:t>
      </w:r>
      <w:r w:rsidR="00A82B7F" w:rsidRPr="00A82B7F">
        <w:rPr>
          <w:b/>
        </w:rPr>
        <w:t>Povilas Batavičius</w:t>
      </w:r>
      <w:r w:rsidRPr="00A82B7F">
        <w:rPr>
          <w:b/>
        </w:rPr>
        <w:t>)</w:t>
      </w:r>
      <w:r w:rsidRPr="00A82B7F">
        <w:t xml:space="preserve"> 201</w:t>
      </w:r>
      <w:r w:rsidR="00A82B7F" w:rsidRPr="00A82B7F">
        <w:t>5</w:t>
      </w:r>
      <w:r w:rsidRPr="00A82B7F">
        <w:t xml:space="preserve"> m. posėdžiavo </w:t>
      </w:r>
      <w:r w:rsidR="00B3595A" w:rsidRPr="00A82B7F">
        <w:t>4</w:t>
      </w:r>
      <w:r w:rsidR="0060109B" w:rsidRPr="00A82B7F">
        <w:t xml:space="preserve"> </w:t>
      </w:r>
      <w:r w:rsidRPr="00A82B7F">
        <w:t>kartus. Svarstė klausimus dėl</w:t>
      </w:r>
      <w:r w:rsidR="00870420" w:rsidRPr="00A82B7F">
        <w:t>:</w:t>
      </w:r>
      <w:r w:rsidR="00D2217F" w:rsidRPr="00A82B7F">
        <w:rPr>
          <w:i/>
        </w:rPr>
        <w:t xml:space="preserve"> </w:t>
      </w:r>
      <w:r w:rsidR="00A82B7F">
        <w:t>Rietavo savivaldybės 2014 metų biudžeto vykdymo ataskaitų ir konsoliduotųjų finansinių ataskaitų rinkinių patvirtinimo; Savivaldybės tarybos Kontrolės komiteto 2015 m. antrojo pusmečio veiklos programos patvirtinimo; Rietavo savivaldybės tarybos 2015 metų antorjo pusmečio darbo plano patvirtinimo; pritarimo Rietavo savivaldybės kontrolės ir audito tarnybos 2014 metų veiklos ataskaitai; pritarimo Rietavo savivaldybės kontrolės ir audito tarnybos 2016 metų veiklos planui; pritarimo Rietavo savivaldybės tarybos Kontrolės komiteto 2015 metų veiklos ataskaitai; Rietavo savivaldybės tarybos Kontrolės komiteto 2016 metų pirmojo pusmečio veiklos programos patvirtinimo; Rietavo savivaldybės tarybos 2016 metų pirmojo pusmečio darbo plano patvirtinimo; Rietavo savivaldybės administracijos Centralizuotos vidaus audto tarnybos vedėjo informacija apie 2015 m. vykdytus, vykdomus auditus.</w:t>
      </w:r>
    </w:p>
    <w:p w:rsidR="00434210" w:rsidRPr="00630125" w:rsidRDefault="00434210" w:rsidP="00A01088">
      <w:pPr>
        <w:jc w:val="left"/>
        <w:rPr>
          <w:b/>
          <w:i/>
        </w:rPr>
      </w:pPr>
    </w:p>
    <w:p w:rsidR="00010A2D" w:rsidRPr="00D20979" w:rsidRDefault="00434210" w:rsidP="00963AE3">
      <w:pPr>
        <w:jc w:val="center"/>
        <w:rPr>
          <w:b/>
        </w:rPr>
      </w:pPr>
      <w:r w:rsidRPr="00D20979">
        <w:rPr>
          <w:b/>
        </w:rPr>
        <w:t>K</w:t>
      </w:r>
      <w:r w:rsidR="00010A2D" w:rsidRPr="00D20979">
        <w:rPr>
          <w:b/>
        </w:rPr>
        <w:t>OMISIJOS IR JŲ VEIKLA</w:t>
      </w:r>
    </w:p>
    <w:p w:rsidR="00010A2D" w:rsidRPr="00630125" w:rsidRDefault="00010A2D" w:rsidP="00A01088">
      <w:pPr>
        <w:jc w:val="left"/>
        <w:rPr>
          <w:i/>
        </w:rPr>
      </w:pPr>
    </w:p>
    <w:p w:rsidR="003D6941" w:rsidRPr="00D20979" w:rsidRDefault="00010A2D" w:rsidP="00A01088">
      <w:pPr>
        <w:ind w:firstLine="547"/>
        <w:jc w:val="left"/>
      </w:pPr>
      <w:r w:rsidRPr="00D20979">
        <w:t xml:space="preserve">   </w:t>
      </w:r>
      <w:r w:rsidR="003D6941" w:rsidRPr="00D20979">
        <w:t xml:space="preserve">Savivaldybės taryba yra patvirtinusi </w:t>
      </w:r>
      <w:r w:rsidR="00D20979" w:rsidRPr="00D20979">
        <w:t>tris</w:t>
      </w:r>
      <w:r w:rsidRPr="00D20979">
        <w:t xml:space="preserve"> nuolatin</w:t>
      </w:r>
      <w:r w:rsidR="003D6941" w:rsidRPr="00D20979">
        <w:t>es komisija</w:t>
      </w:r>
      <w:r w:rsidRPr="00D20979">
        <w:t>s: Administracin</w:t>
      </w:r>
      <w:r w:rsidR="002A56A1" w:rsidRPr="00D20979">
        <w:t>ę</w:t>
      </w:r>
      <w:r w:rsidRPr="00D20979">
        <w:t xml:space="preserve"> komisij</w:t>
      </w:r>
      <w:r w:rsidR="002A56A1" w:rsidRPr="00D20979">
        <w:t>ą</w:t>
      </w:r>
      <w:r w:rsidRPr="00D20979">
        <w:t xml:space="preserve"> (pirminink</w:t>
      </w:r>
      <w:r w:rsidR="00A82B7F" w:rsidRPr="00D20979">
        <w:t>ė</w:t>
      </w:r>
      <w:r w:rsidRPr="00D20979">
        <w:t xml:space="preserve"> – </w:t>
      </w:r>
      <w:r w:rsidR="00A82B7F" w:rsidRPr="00D20979">
        <w:t>Vilija Butkevičienė</w:t>
      </w:r>
      <w:r w:rsidRPr="00D20979">
        <w:t>), Etikos komisij</w:t>
      </w:r>
      <w:r w:rsidR="002A56A1" w:rsidRPr="00D20979">
        <w:t>ą</w:t>
      </w:r>
      <w:r w:rsidRPr="00D20979">
        <w:rPr>
          <w:b/>
        </w:rPr>
        <w:t xml:space="preserve"> (</w:t>
      </w:r>
      <w:r w:rsidRPr="00D20979">
        <w:t>pirminink</w:t>
      </w:r>
      <w:r w:rsidR="00A82B7F" w:rsidRPr="00D20979">
        <w:t>ė</w:t>
      </w:r>
      <w:r w:rsidRPr="00D20979">
        <w:t xml:space="preserve"> – </w:t>
      </w:r>
      <w:r w:rsidR="00A82B7F" w:rsidRPr="00D20979">
        <w:t>Virginija Jakavičienė</w:t>
      </w:r>
      <w:r w:rsidRPr="00D20979">
        <w:t>)</w:t>
      </w:r>
      <w:r w:rsidR="00D20979" w:rsidRPr="00D20979">
        <w:t xml:space="preserve"> ir</w:t>
      </w:r>
      <w:r w:rsidRPr="00D20979">
        <w:t xml:space="preserve"> </w:t>
      </w:r>
      <w:r w:rsidR="00BA7FD6">
        <w:t>Antikorupcijos</w:t>
      </w:r>
      <w:r w:rsidRPr="00D20979">
        <w:t xml:space="preserve"> komisij</w:t>
      </w:r>
      <w:r w:rsidR="002A56A1" w:rsidRPr="00D20979">
        <w:t>ą</w:t>
      </w:r>
      <w:r w:rsidRPr="00D20979">
        <w:t xml:space="preserve"> (pirmininkas – Arturas Kungys). </w:t>
      </w:r>
    </w:p>
    <w:p w:rsidR="00434210" w:rsidRPr="00D20979" w:rsidRDefault="003D6941" w:rsidP="00A01088">
      <w:pPr>
        <w:pStyle w:val="Betarp"/>
        <w:rPr>
          <w:sz w:val="24"/>
          <w:szCs w:val="24"/>
        </w:rPr>
      </w:pPr>
      <w:r w:rsidRPr="00D20979">
        <w:t xml:space="preserve">            </w:t>
      </w:r>
      <w:r w:rsidR="00434210" w:rsidRPr="00D20979">
        <w:t xml:space="preserve">  </w:t>
      </w:r>
      <w:r w:rsidR="00434210" w:rsidRPr="00D20979">
        <w:rPr>
          <w:sz w:val="24"/>
          <w:szCs w:val="24"/>
        </w:rPr>
        <w:t>201</w:t>
      </w:r>
      <w:r w:rsidR="00D20979" w:rsidRPr="00D20979">
        <w:rPr>
          <w:sz w:val="24"/>
          <w:szCs w:val="24"/>
        </w:rPr>
        <w:t>5</w:t>
      </w:r>
      <w:r w:rsidR="00434210" w:rsidRPr="00D20979">
        <w:rPr>
          <w:sz w:val="24"/>
          <w:szCs w:val="24"/>
        </w:rPr>
        <w:t xml:space="preserve"> metais </w:t>
      </w:r>
      <w:r w:rsidR="00B31ED9" w:rsidRPr="00D20979">
        <w:rPr>
          <w:sz w:val="24"/>
          <w:szCs w:val="24"/>
        </w:rPr>
        <w:t>Etikos komisij</w:t>
      </w:r>
      <w:r w:rsidR="00D20979" w:rsidRPr="00D20979">
        <w:rPr>
          <w:sz w:val="24"/>
          <w:szCs w:val="24"/>
        </w:rPr>
        <w:t>a</w:t>
      </w:r>
      <w:r w:rsidR="00B31ED9" w:rsidRPr="00D20979">
        <w:rPr>
          <w:sz w:val="24"/>
          <w:szCs w:val="24"/>
        </w:rPr>
        <w:t xml:space="preserve"> </w:t>
      </w:r>
      <w:r w:rsidR="00C7553E" w:rsidRPr="00D20979">
        <w:rPr>
          <w:sz w:val="24"/>
          <w:szCs w:val="24"/>
        </w:rPr>
        <w:t>ne</w:t>
      </w:r>
      <w:r w:rsidR="00434210" w:rsidRPr="00D20979">
        <w:rPr>
          <w:sz w:val="24"/>
          <w:szCs w:val="24"/>
        </w:rPr>
        <w:t>posėdžiavo</w:t>
      </w:r>
      <w:r w:rsidR="00C7553E" w:rsidRPr="00D20979">
        <w:rPr>
          <w:sz w:val="24"/>
          <w:szCs w:val="24"/>
        </w:rPr>
        <w:t xml:space="preserve">. </w:t>
      </w:r>
      <w:r w:rsidR="00434210" w:rsidRPr="00D20979">
        <w:rPr>
          <w:sz w:val="24"/>
          <w:szCs w:val="24"/>
        </w:rPr>
        <w:t xml:space="preserve"> </w:t>
      </w:r>
    </w:p>
    <w:p w:rsidR="00C7553E" w:rsidRPr="00366AE5" w:rsidRDefault="00366AE5" w:rsidP="00A01088">
      <w:pPr>
        <w:pStyle w:val="Betarp"/>
        <w:rPr>
          <w:rFonts w:eastAsia="Times New Roman"/>
          <w:sz w:val="24"/>
          <w:szCs w:val="20"/>
        </w:rPr>
      </w:pPr>
      <w:r w:rsidRPr="00366AE5">
        <w:rPr>
          <w:sz w:val="24"/>
          <w:szCs w:val="24"/>
        </w:rPr>
        <w:lastRenderedPageBreak/>
        <w:t xml:space="preserve">             Administracinė komisija posėdžiavo du kartus.</w:t>
      </w:r>
      <w:r>
        <w:rPr>
          <w:rFonts w:eastAsia="Times New Roman"/>
          <w:sz w:val="24"/>
          <w:szCs w:val="20"/>
        </w:rPr>
        <w:t xml:space="preserve"> Svarstytos dvi administracinės bylos. Vienu atveju asmuo gavo įspėjimą, kitu – nuspręsta bylą nutraukti.</w:t>
      </w:r>
    </w:p>
    <w:p w:rsidR="00366AE5" w:rsidRDefault="00366AE5" w:rsidP="00A01088">
      <w:pPr>
        <w:ind w:firstLine="547"/>
        <w:jc w:val="left"/>
      </w:pPr>
      <w:r>
        <w:t xml:space="preserve">    2015 metais </w:t>
      </w:r>
      <w:r w:rsidRPr="00D03F8D">
        <w:t xml:space="preserve">įvyko </w:t>
      </w:r>
      <w:r>
        <w:t>2</w:t>
      </w:r>
      <w:r w:rsidRPr="00D03F8D">
        <w:t xml:space="preserve"> </w:t>
      </w:r>
      <w:r>
        <w:t>Antikorupcijos</w:t>
      </w:r>
      <w:r w:rsidRPr="00D03F8D">
        <w:t xml:space="preserve"> </w:t>
      </w:r>
      <w:r>
        <w:t xml:space="preserve">komisijos </w:t>
      </w:r>
      <w:r w:rsidRPr="00D03F8D">
        <w:t xml:space="preserve">posėdžiai, kuriuose svarstyti </w:t>
      </w:r>
      <w:r>
        <w:t xml:space="preserve">7 </w:t>
      </w:r>
      <w:r w:rsidRPr="00D03F8D">
        <w:t>klausimai</w:t>
      </w:r>
      <w:r>
        <w:t xml:space="preserve">. Komisijos posėdžių metu aptarta Rietavo savivaldybės 2013-2014 m. korupcijos prevencijos programos įgyvendinimo ataskaita, svarstytas naujai parengtas Rietavo savivaldybės 2015-2017 metų antikorupcinės programos projektas, Tarybos sprendimo projektas dėl Rietavo savivaldybės biudžetinių įstaigų vadovų paskyrimo atsakingais už korupcijos prevenciją ir jos kontrolę įstaigose, aptarti Antikorupcijos komisijos nuostatai ir 2014 m. pabaigoje vykdytos gyventojų apklausos apie gyventojų požiūrį į korupciją ir jos paplitimą ir Savivaldybės teikiamų paslaugų kokybę rezultatai. </w:t>
      </w:r>
    </w:p>
    <w:p w:rsidR="00366AE5" w:rsidRPr="00366AE5" w:rsidRDefault="00366AE5" w:rsidP="00A01088">
      <w:pPr>
        <w:pStyle w:val="prastasistinklapis"/>
        <w:shd w:val="clear" w:color="auto" w:fill="FFFFFF"/>
        <w:spacing w:before="0" w:beforeAutospacing="0" w:after="0" w:afterAutospacing="0"/>
        <w:rPr>
          <w:rStyle w:val="Grietas"/>
          <w:rFonts w:ascii="Times New Roman" w:hAnsi="Times New Roman" w:cs="Times New Roman"/>
          <w:b w:val="0"/>
          <w:color w:val="333333"/>
          <w:sz w:val="24"/>
          <w:szCs w:val="24"/>
        </w:rPr>
      </w:pPr>
      <w:r>
        <w:rPr>
          <w:rFonts w:ascii="Times New Roman" w:hAnsi="Times New Roman" w:cs="Times New Roman"/>
          <w:sz w:val="24"/>
          <w:szCs w:val="24"/>
        </w:rPr>
        <w:t xml:space="preserve">              </w:t>
      </w:r>
      <w:r w:rsidR="00010A2D" w:rsidRPr="00366AE5">
        <w:rPr>
          <w:rFonts w:ascii="Times New Roman" w:hAnsi="Times New Roman" w:cs="Times New Roman"/>
          <w:sz w:val="24"/>
          <w:szCs w:val="24"/>
        </w:rPr>
        <w:t xml:space="preserve">Vadovaudamasi Lietuvos Respublikos vietos savivaldos įstatymo 15 straipsnio 4 </w:t>
      </w:r>
      <w:r w:rsidRPr="00366AE5">
        <w:rPr>
          <w:rFonts w:ascii="Times New Roman" w:hAnsi="Times New Roman" w:cs="Times New Roman"/>
          <w:sz w:val="24"/>
          <w:szCs w:val="24"/>
        </w:rPr>
        <w:t>dalimi</w:t>
      </w:r>
      <w:r w:rsidR="00F87160" w:rsidRPr="00366AE5">
        <w:rPr>
          <w:rFonts w:ascii="Times New Roman" w:hAnsi="Times New Roman" w:cs="Times New Roman"/>
          <w:sz w:val="24"/>
          <w:szCs w:val="24"/>
        </w:rPr>
        <w:t xml:space="preserve"> ir Rietavo savivaldybės tarybos veiklos reglamentu, </w:t>
      </w:r>
      <w:r w:rsidR="00010A2D" w:rsidRPr="00366AE5">
        <w:rPr>
          <w:rFonts w:ascii="Times New Roman" w:hAnsi="Times New Roman" w:cs="Times New Roman"/>
          <w:sz w:val="24"/>
          <w:szCs w:val="24"/>
        </w:rPr>
        <w:t xml:space="preserve"> Savivaldybės taryba 201</w:t>
      </w:r>
      <w:r w:rsidRPr="00366AE5">
        <w:rPr>
          <w:rFonts w:ascii="Times New Roman" w:hAnsi="Times New Roman" w:cs="Times New Roman"/>
          <w:sz w:val="24"/>
          <w:szCs w:val="24"/>
        </w:rPr>
        <w:t>5</w:t>
      </w:r>
      <w:r w:rsidR="00010A2D" w:rsidRPr="00366AE5">
        <w:rPr>
          <w:rFonts w:ascii="Times New Roman" w:hAnsi="Times New Roman" w:cs="Times New Roman"/>
          <w:sz w:val="24"/>
          <w:szCs w:val="24"/>
        </w:rPr>
        <w:t xml:space="preserve"> m. </w:t>
      </w:r>
      <w:r w:rsidR="003D6941" w:rsidRPr="00366AE5">
        <w:rPr>
          <w:rFonts w:ascii="Times New Roman" w:hAnsi="Times New Roman" w:cs="Times New Roman"/>
          <w:sz w:val="24"/>
          <w:szCs w:val="24"/>
        </w:rPr>
        <w:t xml:space="preserve">savo kadencijos laikotarpiui </w:t>
      </w:r>
      <w:r w:rsidR="00010A2D" w:rsidRPr="00366AE5">
        <w:rPr>
          <w:rFonts w:ascii="Times New Roman" w:hAnsi="Times New Roman" w:cs="Times New Roman"/>
          <w:sz w:val="24"/>
          <w:szCs w:val="24"/>
        </w:rPr>
        <w:t>sudarė</w:t>
      </w:r>
      <w:r w:rsidR="00010A2D" w:rsidRPr="00366AE5">
        <w:rPr>
          <w:rFonts w:ascii="Times New Roman" w:hAnsi="Times New Roman" w:cs="Times New Roman"/>
          <w:i/>
          <w:sz w:val="24"/>
          <w:szCs w:val="24"/>
        </w:rPr>
        <w:t xml:space="preserve"> </w:t>
      </w:r>
      <w:r w:rsidRPr="00366AE5">
        <w:rPr>
          <w:rFonts w:ascii="Times New Roman" w:hAnsi="Times New Roman" w:cs="Times New Roman"/>
          <w:sz w:val="24"/>
          <w:szCs w:val="24"/>
        </w:rPr>
        <w:t>14</w:t>
      </w:r>
      <w:r w:rsidR="00010A2D" w:rsidRPr="00366AE5">
        <w:rPr>
          <w:rFonts w:ascii="Times New Roman" w:hAnsi="Times New Roman" w:cs="Times New Roman"/>
          <w:sz w:val="24"/>
          <w:szCs w:val="24"/>
        </w:rPr>
        <w:t xml:space="preserve"> kitų komisijų ir tarybų. Tai –</w:t>
      </w:r>
      <w:r w:rsidR="00010A2D" w:rsidRPr="00366AE5">
        <w:rPr>
          <w:rFonts w:ascii="Times New Roman" w:hAnsi="Times New Roman" w:cs="Times New Roman"/>
          <w:i/>
          <w:sz w:val="24"/>
          <w:szCs w:val="24"/>
        </w:rPr>
        <w:t xml:space="preserve"> </w:t>
      </w:r>
      <w:r w:rsidRPr="00366AE5">
        <w:rPr>
          <w:rFonts w:ascii="Times New Roman" w:hAnsi="Times New Roman" w:cs="Times New Roman"/>
          <w:sz w:val="24"/>
          <w:szCs w:val="24"/>
        </w:rPr>
        <w:t xml:space="preserve">Rietavo savivaldybės sporto taryba, Lėšų sporto klubų ir trenerių projektams finansuoti paskirstymo komisija, </w:t>
      </w:r>
      <w:r w:rsidRPr="00366AE5">
        <w:rPr>
          <w:rFonts w:ascii="Times New Roman" w:eastAsia="Calibri" w:hAnsi="Times New Roman" w:cs="Times New Roman"/>
          <w:sz w:val="24"/>
          <w:szCs w:val="24"/>
        </w:rPr>
        <w:t>Rietavo savivaldybės jaunimo reikalų taryb</w:t>
      </w:r>
      <w:r w:rsidRPr="00366AE5">
        <w:rPr>
          <w:rFonts w:ascii="Times New Roman" w:hAnsi="Times New Roman" w:cs="Times New Roman"/>
          <w:sz w:val="24"/>
          <w:szCs w:val="24"/>
        </w:rPr>
        <w:t xml:space="preserve">a, Nevyriausybinių organizacijų projektų, jaunimo iniciatyvų ir laisvalaikio užimtumo plėtojimo projektų vertinimo komisija, Rietavo savivaldybės  privatizavimo komisija, Rietavo savivaldybės smulkaus ir vidutinio verslo ir žemės ūkio rėmimo programos projektų ir paraiškų vertinimo komisija, Rietavo savivaldybės apžiūros-konkurso „Gražiausiai Rietavo savivaldybėje tvarkomi sklypai“ vertinimo komisija, </w:t>
      </w:r>
      <w:r w:rsidRPr="00366AE5">
        <w:rPr>
          <w:rFonts w:ascii="Times New Roman" w:eastAsia="Calibri" w:hAnsi="Times New Roman" w:cs="Times New Roman"/>
          <w:sz w:val="24"/>
          <w:szCs w:val="24"/>
        </w:rPr>
        <w:t>Rietavo savivaldybės Garbės piliečio vardo suteikimo komisij</w:t>
      </w:r>
      <w:r w:rsidRPr="00366AE5">
        <w:rPr>
          <w:rFonts w:ascii="Times New Roman" w:hAnsi="Times New Roman" w:cs="Times New Roman"/>
          <w:sz w:val="24"/>
          <w:szCs w:val="24"/>
        </w:rPr>
        <w:t xml:space="preserve">a, Rietavo savivaldybės bendruomenės rėmimo fondo taryba, Rietavo savivaldybės bendruomenės  sveikatos taryba, Rietavo savivaldybės socialinių paslaugų teikimo komisija, Specialiųjų poreikių nustatymo ir jų tenkinimo komisija, Rietavo savivaldybės saugaus eismo komisija, </w:t>
      </w:r>
      <w:r w:rsidRPr="00366AE5">
        <w:rPr>
          <w:rStyle w:val="Grietas"/>
          <w:rFonts w:ascii="Times New Roman" w:hAnsi="Times New Roman" w:cs="Times New Roman"/>
          <w:b w:val="0"/>
          <w:color w:val="333333"/>
          <w:sz w:val="24"/>
          <w:szCs w:val="24"/>
        </w:rPr>
        <w:t>Vienkartinių pašalpų skyrimo komisija</w:t>
      </w:r>
      <w:r w:rsidR="003E7C23">
        <w:rPr>
          <w:rStyle w:val="Grietas"/>
          <w:rFonts w:ascii="Times New Roman" w:hAnsi="Times New Roman" w:cs="Times New Roman"/>
          <w:b w:val="0"/>
          <w:color w:val="333333"/>
          <w:sz w:val="24"/>
          <w:szCs w:val="24"/>
        </w:rPr>
        <w:t>.</w:t>
      </w:r>
    </w:p>
    <w:p w:rsidR="00366AE5" w:rsidRDefault="00366AE5" w:rsidP="00A01088">
      <w:pPr>
        <w:ind w:firstLine="567"/>
        <w:jc w:val="left"/>
      </w:pPr>
      <w:r>
        <w:rPr>
          <w:b/>
        </w:rPr>
        <w:t xml:space="preserve">    </w:t>
      </w:r>
      <w:r w:rsidRPr="00FB3BB0">
        <w:t>Rietavo savivaldybės sporto taryba</w:t>
      </w:r>
      <w:r>
        <w:t xml:space="preserve"> rinkosi vieną kartą,  buvo išrinktas sporto tarybos pirmininkas ir pavaduotojas.</w:t>
      </w:r>
    </w:p>
    <w:p w:rsidR="00366AE5" w:rsidRPr="00966661" w:rsidRDefault="00366AE5" w:rsidP="00A01088">
      <w:pPr>
        <w:ind w:firstLine="567"/>
        <w:jc w:val="left"/>
        <w:rPr>
          <w:bCs/>
        </w:rPr>
      </w:pPr>
      <w:r>
        <w:rPr>
          <w:bCs/>
        </w:rPr>
        <w:t xml:space="preserve">    </w:t>
      </w:r>
      <w:r w:rsidRPr="00966661">
        <w:rPr>
          <w:bCs/>
        </w:rPr>
        <w:t>Lėšų paskirstymo sporto klubų ir trenerių projektams finansuoti komisija rinkosi</w:t>
      </w:r>
      <w:r>
        <w:rPr>
          <w:bCs/>
        </w:rPr>
        <w:t xml:space="preserve"> vieną kartą</w:t>
      </w:r>
      <w:r w:rsidRPr="00966661">
        <w:rPr>
          <w:bCs/>
        </w:rPr>
        <w:t>, buvo paski</w:t>
      </w:r>
      <w:r>
        <w:rPr>
          <w:bCs/>
        </w:rPr>
        <w:t>r</w:t>
      </w:r>
      <w:r w:rsidRPr="00966661">
        <w:rPr>
          <w:bCs/>
        </w:rPr>
        <w:t>stytos lėšos sporto klubams finansuoti.</w:t>
      </w:r>
    </w:p>
    <w:p w:rsidR="002A1A3A" w:rsidRDefault="00366AE5" w:rsidP="00A01088">
      <w:pPr>
        <w:jc w:val="left"/>
      </w:pPr>
      <w:r>
        <w:rPr>
          <w:b/>
        </w:rPr>
        <w:t xml:space="preserve"> </w:t>
      </w:r>
      <w:r w:rsidR="002A1A3A">
        <w:t>Bendruomenės rėmimo fondo taryba 2015 metais surengė 3 posėdžius, kuriuose svarstyti 3 asmenų prašymai. Piniginė parama skirta sunkios ligos atveju – 2 kartus, insulino pompai įsigyti – 1. Skirta parama – 1590,00 Eur.</w:t>
      </w:r>
    </w:p>
    <w:p w:rsidR="002A1A3A" w:rsidRDefault="002A1A3A" w:rsidP="00A01088">
      <w:pPr>
        <w:jc w:val="left"/>
      </w:pPr>
      <w:r>
        <w:t xml:space="preserve">Rietavo savivaldybės socialinių paslaugų skyrimo komisija 2015 metais surengė 28 posėdžius, kuriuose apsvarstyti 32 asmenų prašymai. Socialinės paslaugos skirtos 32 asmenims (šeimoms). Iš jų: ilgalaikė socialinė globa </w:t>
      </w:r>
      <w:r w:rsidR="00F449BF">
        <w:t>–</w:t>
      </w:r>
      <w:r>
        <w:t xml:space="preserve"> 7, trumpalaikė socialinė globa – 25.</w:t>
      </w:r>
    </w:p>
    <w:p w:rsidR="002A1A3A" w:rsidRDefault="002A1A3A" w:rsidP="00A01088">
      <w:pPr>
        <w:jc w:val="left"/>
      </w:pPr>
      <w:r>
        <w:t xml:space="preserve">Specialiųjų poreikių nustatymo ir jų tenkinimo komisija 2015 metais surengė 7 posėdžius. Juose apsvarstyti 41 asmens, kuriems nustatytas specialusis nuolatinės priežiūros (pagalbos) ir/arba specialusis transporto išlaidų kompensacijos poreikis, prašymai. Specialiųjų poreikių lygis nustatytas 41 asmeniui. Iš jų: didelių specialiųjų poreikių lygis – 34 asmenims, vidutinių specialiųjų poreikių lygis – 7 asmenims. 49 asmenims, kuriems nustatytas specialusis nuolatinės slaugos poreikis, nustatytas didelių specialiųjų poreikių lygis. </w:t>
      </w:r>
    </w:p>
    <w:p w:rsidR="002A1A3A" w:rsidRDefault="002A1A3A" w:rsidP="00A01088">
      <w:pPr>
        <w:jc w:val="left"/>
      </w:pPr>
      <w:r>
        <w:rPr>
          <w:b/>
        </w:rPr>
        <w:t xml:space="preserve"> </w:t>
      </w:r>
      <w:r>
        <w:t>Vienkartinių pašalpų skyrimo komisija 2015 metais surengė 7 posėdžius, kuriuose apsvarstyti 27 asmenų prašymai. Vienkartinė piniginė parama skirta 27 asmenims (šeimoms).</w:t>
      </w:r>
      <w:r w:rsidR="00F449BF">
        <w:t xml:space="preserve"> Iš jų: nukentėjus nuo gaisro –</w:t>
      </w:r>
      <w:r>
        <w:t xml:space="preserve"> 5, sunkios ligos atveju – 12, asmens dokumentams sutvarkyti – 1, esant sunkiai materialinei padėčiai – 9. 2015 m. gruodžio 16 d. Savivaldybės tarybos sprendimu Nr. T1-176 Vienkartinės piniginės paramos skyrimo ir mokėjimo tvarka papildyta 5.6</w:t>
      </w:r>
      <w:r w:rsidR="00F449BF">
        <w:t>.</w:t>
      </w:r>
      <w:r>
        <w:t xml:space="preserve"> punktu, kuriame numatytas vienkartinės laidojimo pašalpos (260 Eur) skyrimas laidojant mirusį asmenį, kurio duomenys apie gyvenamąją vietą nebuvo įrašyti į Lietuvos Respublikos gyventojų registrą. </w:t>
      </w:r>
    </w:p>
    <w:p w:rsidR="002A1A3A" w:rsidRPr="002A1A3A" w:rsidRDefault="002A1A3A" w:rsidP="00A01088">
      <w:pPr>
        <w:ind w:firstLine="0"/>
        <w:jc w:val="left"/>
        <w:rPr>
          <w:color w:val="000000"/>
          <w:szCs w:val="24"/>
          <w:lang w:eastAsia="lt-LT"/>
        </w:rPr>
      </w:pPr>
      <w:r>
        <w:rPr>
          <w:rFonts w:ascii="Calibri" w:hAnsi="Calibri"/>
          <w:color w:val="000000"/>
          <w:szCs w:val="24"/>
          <w:lang w:eastAsia="lt-LT"/>
        </w:rPr>
        <w:t xml:space="preserve">               </w:t>
      </w:r>
      <w:r w:rsidRPr="002A1A3A">
        <w:rPr>
          <w:color w:val="000000"/>
          <w:szCs w:val="24"/>
          <w:lang w:eastAsia="lt-LT"/>
        </w:rPr>
        <w:t xml:space="preserve">2015 m. įvyko 3 Rietavo savivaldybės saugaus eismo komisijos posėdžiai.  </w:t>
      </w:r>
    </w:p>
    <w:p w:rsidR="002A1A3A" w:rsidRDefault="002A1A3A" w:rsidP="00A01088">
      <w:pPr>
        <w:ind w:firstLine="0"/>
        <w:jc w:val="left"/>
        <w:rPr>
          <w:color w:val="000000"/>
          <w:szCs w:val="24"/>
          <w:lang w:eastAsia="lt-LT"/>
        </w:rPr>
      </w:pPr>
      <w:r w:rsidRPr="002A1A3A">
        <w:rPr>
          <w:color w:val="000000"/>
          <w:szCs w:val="24"/>
          <w:lang w:eastAsia="lt-LT"/>
        </w:rPr>
        <w:t>Gauta raštų  – 11, išsiųsta raštų – 13. Parengti 3 Rietavo savivaldybės saugaus eismo komisijos posėdžio protokolai.</w:t>
      </w:r>
    </w:p>
    <w:p w:rsidR="00F24E32" w:rsidRPr="00E848D1" w:rsidRDefault="00F24E32" w:rsidP="00A01088">
      <w:pPr>
        <w:pStyle w:val="Pagrindiniotekstotrauka"/>
        <w:tabs>
          <w:tab w:val="left" w:pos="1247"/>
        </w:tabs>
        <w:ind w:firstLine="0"/>
        <w:jc w:val="left"/>
      </w:pPr>
      <w:r>
        <w:rPr>
          <w:color w:val="000000"/>
          <w:szCs w:val="24"/>
          <w:lang w:eastAsia="lt-LT"/>
        </w:rPr>
        <w:t xml:space="preserve">             </w:t>
      </w:r>
      <w:r w:rsidRPr="00E848D1">
        <w:t xml:space="preserve">Rietavo savivaldybės smulkaus ir vidutinio verslo ir žemės ūkio rėmimo programos projektų ir paraiškų vertinimo komisija </w:t>
      </w:r>
      <w:r>
        <w:t xml:space="preserve">2015 m. sušaukė 4 posėdžius, kurių metu buvo apsvarstyta 14 smulkaus ir vidutinio verslo subjektų prašymų dėl finansinės paramos skyrimo iš Smulkaus ir </w:t>
      </w:r>
      <w:r>
        <w:lastRenderedPageBreak/>
        <w:t xml:space="preserve">vidutinio verslo rėmimo programos ir 23 ūkininkų  prašymai dėl finansinės paramos skyrimo iš Žemės ūkio rėmimo programos. Komisija rekomendavo Savivaldybės administracijos direktoriui skirti paramą 12 smulkiųjų verslininkų ir 21 ūkininkui. Nutarta netenkinti  4 prašymų, </w:t>
      </w:r>
      <w:r w:rsidRPr="00C17ED7">
        <w:t xml:space="preserve"> </w:t>
      </w:r>
      <w:r>
        <w:t>kurie neatitinka lėšų skirstymo  taisyklių nuostatų.</w:t>
      </w:r>
    </w:p>
    <w:p w:rsidR="00F24E32" w:rsidRPr="002A1A3A" w:rsidRDefault="00F24E32" w:rsidP="00A01088">
      <w:pPr>
        <w:ind w:firstLine="0"/>
        <w:jc w:val="left"/>
        <w:rPr>
          <w:color w:val="000000"/>
          <w:szCs w:val="24"/>
          <w:lang w:eastAsia="lt-LT"/>
        </w:rPr>
      </w:pPr>
    </w:p>
    <w:p w:rsidR="00E97ECA" w:rsidRPr="00D5479A" w:rsidRDefault="00E97ECA" w:rsidP="00A01088">
      <w:pPr>
        <w:jc w:val="left"/>
        <w:rPr>
          <w:b/>
          <w:i/>
          <w:szCs w:val="24"/>
        </w:rPr>
      </w:pPr>
      <w:r w:rsidRPr="00D5479A">
        <w:rPr>
          <w:b/>
          <w:szCs w:val="24"/>
        </w:rPr>
        <w:t>RIETAVO SAVIVALDYBĖS MERO 201</w:t>
      </w:r>
      <w:r w:rsidR="002A1A3A" w:rsidRPr="00D5479A">
        <w:rPr>
          <w:b/>
          <w:szCs w:val="24"/>
        </w:rPr>
        <w:t>5</w:t>
      </w:r>
      <w:r w:rsidRPr="00D5479A">
        <w:rPr>
          <w:b/>
          <w:szCs w:val="24"/>
        </w:rPr>
        <w:t xml:space="preserve"> METŲ VEIKLOS ATASKAITA</w:t>
      </w:r>
      <w:r w:rsidRPr="00D5479A">
        <w:rPr>
          <w:b/>
          <w:i/>
          <w:szCs w:val="24"/>
        </w:rPr>
        <w:t xml:space="preserve">                                                                        </w:t>
      </w:r>
    </w:p>
    <w:p w:rsidR="00E97ECA" w:rsidRPr="00630125" w:rsidRDefault="00E97ECA" w:rsidP="00A01088">
      <w:pPr>
        <w:pStyle w:val="Pagrindiniotekstotrauka"/>
        <w:tabs>
          <w:tab w:val="left" w:pos="1247"/>
          <w:tab w:val="left" w:pos="1843"/>
        </w:tabs>
        <w:ind w:firstLine="0"/>
        <w:jc w:val="left"/>
        <w:rPr>
          <w:i/>
        </w:rPr>
      </w:pPr>
    </w:p>
    <w:p w:rsidR="00E97ECA" w:rsidRPr="002A1A3A" w:rsidRDefault="00174974" w:rsidP="00A01088">
      <w:pPr>
        <w:ind w:firstLine="0"/>
        <w:jc w:val="left"/>
      </w:pPr>
      <w:r w:rsidRPr="002A1A3A">
        <w:t xml:space="preserve">             </w:t>
      </w:r>
      <w:r w:rsidR="00E97ECA" w:rsidRPr="002A1A3A">
        <w:t xml:space="preserve">Vadovaudamasis Lietuvos Respublikos vietos savivaldos įstatymo 16 straipsnio 19 punktu, Rietavo savivaldybės tarybos reglamento, patvirtinto Rietavo savivaldybės tarybos </w:t>
      </w:r>
      <w:r w:rsidR="002A1A3A" w:rsidRPr="002A1A3A">
        <w:rPr>
          <w:color w:val="262121"/>
        </w:rPr>
        <w:t>2015 m. lapkričio 19 d. sprendimu Nr. T1-146, 171 punktu</w:t>
      </w:r>
      <w:r w:rsidR="00E97ECA" w:rsidRPr="002A1A3A">
        <w:t>, teikiu Savivaldybės tarybai ataskaitą.</w:t>
      </w:r>
    </w:p>
    <w:p w:rsidR="00E97ECA" w:rsidRPr="00630125" w:rsidRDefault="00E97ECA" w:rsidP="00A01088">
      <w:pPr>
        <w:ind w:firstLine="1134"/>
        <w:jc w:val="left"/>
        <w:rPr>
          <w:i/>
        </w:rPr>
      </w:pPr>
    </w:p>
    <w:p w:rsidR="00E97ECA" w:rsidRPr="00630125" w:rsidRDefault="00E97ECA" w:rsidP="00963AE3">
      <w:pPr>
        <w:jc w:val="center"/>
        <w:rPr>
          <w:rFonts w:eastAsia="Lucida Sans Unicode"/>
          <w:b/>
          <w:i/>
          <w:kern w:val="2"/>
          <w:szCs w:val="24"/>
        </w:rPr>
      </w:pPr>
      <w:r w:rsidRPr="00775273">
        <w:rPr>
          <w:rFonts w:eastAsia="Lucida Sans Unicode"/>
          <w:b/>
          <w:kern w:val="2"/>
          <w:szCs w:val="24"/>
        </w:rPr>
        <w:t>SAVIVALDYBĖS SOCIALINĖ IR EKONOMINĖ SITUACIJ</w:t>
      </w:r>
      <w:r w:rsidRPr="00DA3170">
        <w:rPr>
          <w:rFonts w:eastAsia="Lucida Sans Unicode"/>
          <w:b/>
          <w:kern w:val="2"/>
          <w:szCs w:val="24"/>
        </w:rPr>
        <w:t>A</w:t>
      </w:r>
    </w:p>
    <w:p w:rsidR="00E97ECA" w:rsidRPr="00630125" w:rsidRDefault="00E97ECA" w:rsidP="00963AE3">
      <w:pPr>
        <w:jc w:val="center"/>
        <w:rPr>
          <w:i/>
          <w:noProof/>
          <w:lang w:eastAsia="lt-LT"/>
        </w:rPr>
      </w:pPr>
    </w:p>
    <w:p w:rsidR="00F449BF" w:rsidRDefault="00174974" w:rsidP="00A01088">
      <w:pPr>
        <w:jc w:val="left"/>
        <w:rPr>
          <w:color w:val="000000"/>
          <w:szCs w:val="24"/>
        </w:rPr>
      </w:pPr>
      <w:r w:rsidRPr="00630125">
        <w:rPr>
          <w:i/>
          <w:szCs w:val="24"/>
        </w:rPr>
        <w:t xml:space="preserve">    </w:t>
      </w:r>
      <w:r w:rsidR="007F6EA6">
        <w:rPr>
          <w:szCs w:val="24"/>
        </w:rPr>
        <w:t xml:space="preserve">Lietuvos statistikos departamento duomenimis, </w:t>
      </w:r>
      <w:r w:rsidR="007F6EA6" w:rsidRPr="006B39A5">
        <w:rPr>
          <w:szCs w:val="24"/>
          <w:lang w:eastAsia="lt-LT"/>
        </w:rPr>
        <w:t>2015 m. pradžioje</w:t>
      </w:r>
      <w:r w:rsidR="007F6EA6">
        <w:rPr>
          <w:szCs w:val="24"/>
          <w:lang w:eastAsia="lt-LT"/>
        </w:rPr>
        <w:t xml:space="preserve"> Rietavo savivaldybėje gyveno </w:t>
      </w:r>
      <w:r w:rsidR="007F6EA6">
        <w:rPr>
          <w:rFonts w:eastAsia="Calibri"/>
          <w:szCs w:val="24"/>
          <w:lang w:bidi="en-US"/>
        </w:rPr>
        <w:t xml:space="preserve">8096 </w:t>
      </w:r>
      <w:r w:rsidR="007F6EA6" w:rsidRPr="006B39A5">
        <w:rPr>
          <w:szCs w:val="24"/>
          <w:lang w:eastAsia="lt-LT"/>
        </w:rPr>
        <w:t>gyventoj</w:t>
      </w:r>
      <w:r w:rsidR="007F6EA6">
        <w:rPr>
          <w:szCs w:val="24"/>
          <w:lang w:eastAsia="lt-LT"/>
        </w:rPr>
        <w:t>ai. Lyginant su 2014 m. pradžia</w:t>
      </w:r>
      <w:r w:rsidR="00F449BF">
        <w:rPr>
          <w:szCs w:val="24"/>
          <w:lang w:eastAsia="lt-LT"/>
        </w:rPr>
        <w:t>,</w:t>
      </w:r>
      <w:r w:rsidR="007F6EA6">
        <w:rPr>
          <w:szCs w:val="24"/>
          <w:lang w:eastAsia="lt-LT"/>
        </w:rPr>
        <w:t xml:space="preserve"> gyventojų </w:t>
      </w:r>
      <w:r w:rsidR="007F6EA6" w:rsidRPr="006B39A5">
        <w:rPr>
          <w:szCs w:val="24"/>
          <w:lang w:eastAsia="lt-LT"/>
        </w:rPr>
        <w:t xml:space="preserve">skaičius sumažėjo </w:t>
      </w:r>
      <w:r w:rsidR="007F6EA6" w:rsidRPr="00894053">
        <w:rPr>
          <w:szCs w:val="24"/>
          <w:lang w:eastAsia="lt-LT"/>
        </w:rPr>
        <w:t xml:space="preserve">159 gyventojais: Rietavo </w:t>
      </w:r>
      <w:r w:rsidR="007F6EA6">
        <w:rPr>
          <w:szCs w:val="24"/>
          <w:lang w:eastAsia="lt-LT"/>
        </w:rPr>
        <w:t>mieste</w:t>
      </w:r>
      <w:r w:rsidR="007F6EA6" w:rsidRPr="00894053">
        <w:rPr>
          <w:szCs w:val="24"/>
          <w:lang w:eastAsia="lt-LT"/>
        </w:rPr>
        <w:t xml:space="preserve"> gyventojų sumažėjo 58 asmenimis, o kaimo teritorijose </w:t>
      </w:r>
      <w:r w:rsidR="007F6EA6">
        <w:rPr>
          <w:szCs w:val="24"/>
          <w:lang w:eastAsia="lt-LT"/>
        </w:rPr>
        <w:t>–</w:t>
      </w:r>
      <w:r w:rsidR="007F6EA6" w:rsidRPr="00894053">
        <w:rPr>
          <w:szCs w:val="24"/>
          <w:lang w:eastAsia="lt-LT"/>
        </w:rPr>
        <w:t xml:space="preserve"> 101 asmeniu</w:t>
      </w:r>
      <w:r w:rsidR="007F6EA6" w:rsidRPr="00894053">
        <w:rPr>
          <w:szCs w:val="24"/>
        </w:rPr>
        <w:t>.</w:t>
      </w:r>
      <w:r w:rsidRPr="00630125">
        <w:rPr>
          <w:i/>
          <w:szCs w:val="24"/>
        </w:rPr>
        <w:t xml:space="preserve"> </w:t>
      </w:r>
      <w:r w:rsidR="007F6EA6" w:rsidRPr="007F6EA6">
        <w:rPr>
          <w:color w:val="000000"/>
          <w:szCs w:val="24"/>
        </w:rPr>
        <w:t xml:space="preserve"> </w:t>
      </w:r>
    </w:p>
    <w:p w:rsidR="00775273" w:rsidRPr="00986044" w:rsidRDefault="00F449BF" w:rsidP="00A01088">
      <w:pPr>
        <w:jc w:val="left"/>
        <w:rPr>
          <w:color w:val="000000"/>
          <w:szCs w:val="24"/>
        </w:rPr>
      </w:pPr>
      <w:r>
        <w:rPr>
          <w:color w:val="000000"/>
          <w:szCs w:val="24"/>
        </w:rPr>
        <w:t xml:space="preserve">   </w:t>
      </w:r>
      <w:r w:rsidR="00775273" w:rsidRPr="00986044">
        <w:rPr>
          <w:color w:val="000000"/>
          <w:szCs w:val="24"/>
        </w:rPr>
        <w:t>Remiantis Plungės teritorinės darbo biržos duomenimis, 2015 m. sausio 1 d. Rietavo savivaldybėje nedarbo lygis – 9,19 proc., Telšių apskrityje – 9,19 proc., o šalies</w:t>
      </w:r>
      <w:r>
        <w:rPr>
          <w:color w:val="000000"/>
          <w:szCs w:val="24"/>
        </w:rPr>
        <w:t xml:space="preserve"> </w:t>
      </w:r>
      <w:r w:rsidR="00775273" w:rsidRPr="00986044">
        <w:rPr>
          <w:color w:val="000000"/>
          <w:szCs w:val="24"/>
        </w:rPr>
        <w:t xml:space="preserve">– 8,8 proc. visų darbingo amžiaus šalies gyventojų. </w:t>
      </w:r>
    </w:p>
    <w:p w:rsidR="00775273" w:rsidRPr="00986044" w:rsidRDefault="00775273" w:rsidP="00A01088">
      <w:pPr>
        <w:jc w:val="left"/>
        <w:rPr>
          <w:color w:val="000000"/>
          <w:szCs w:val="24"/>
        </w:rPr>
      </w:pPr>
    </w:p>
    <w:p w:rsidR="00775273" w:rsidRPr="00AD0410" w:rsidRDefault="00775273" w:rsidP="00775273">
      <w:pPr>
        <w:spacing w:after="120"/>
        <w:jc w:val="center"/>
        <w:rPr>
          <w:color w:val="000000"/>
          <w:szCs w:val="24"/>
        </w:rPr>
      </w:pPr>
      <w:r w:rsidRPr="00AD0410">
        <w:rPr>
          <w:b/>
          <w:bCs/>
          <w:szCs w:val="24"/>
        </w:rPr>
        <w:t>Rietavo savivaldybėje re</w:t>
      </w:r>
      <w:r>
        <w:rPr>
          <w:b/>
          <w:bCs/>
          <w:szCs w:val="24"/>
        </w:rPr>
        <w:t>gistruotų bedarbių skaičius 2013</w:t>
      </w:r>
      <w:r w:rsidRPr="00AD0410">
        <w:rPr>
          <w:b/>
          <w:bCs/>
          <w:szCs w:val="24"/>
        </w:rPr>
        <w:t>-2015 m.</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1843"/>
        <w:gridCol w:w="1843"/>
        <w:gridCol w:w="1842"/>
        <w:gridCol w:w="1701"/>
      </w:tblGrid>
      <w:tr w:rsidR="00775273" w:rsidRPr="00AD0410" w:rsidTr="00E520EF">
        <w:tc>
          <w:tcPr>
            <w:tcW w:w="2376" w:type="dxa"/>
            <w:shd w:val="clear" w:color="auto" w:fill="auto"/>
          </w:tcPr>
          <w:p w:rsidR="00775273" w:rsidRPr="00AD0410" w:rsidRDefault="00775273" w:rsidP="00E520EF">
            <w:pPr>
              <w:spacing w:after="120"/>
              <w:ind w:right="-1"/>
              <w:rPr>
                <w:b/>
                <w:sz w:val="22"/>
                <w:szCs w:val="22"/>
              </w:rPr>
            </w:pPr>
          </w:p>
        </w:tc>
        <w:tc>
          <w:tcPr>
            <w:tcW w:w="1843" w:type="dxa"/>
            <w:shd w:val="clear" w:color="auto" w:fill="auto"/>
          </w:tcPr>
          <w:p w:rsidR="00775273" w:rsidRPr="00AD0410" w:rsidRDefault="00775273" w:rsidP="00775273">
            <w:pPr>
              <w:spacing w:after="120"/>
              <w:ind w:right="-1" w:firstLine="0"/>
              <w:jc w:val="center"/>
              <w:rPr>
                <w:b/>
                <w:sz w:val="22"/>
                <w:szCs w:val="22"/>
              </w:rPr>
            </w:pPr>
            <w:r w:rsidRPr="00AD0410">
              <w:rPr>
                <w:b/>
                <w:sz w:val="22"/>
                <w:szCs w:val="22"/>
              </w:rPr>
              <w:t>2013</w:t>
            </w:r>
            <w:r>
              <w:rPr>
                <w:b/>
                <w:sz w:val="22"/>
                <w:szCs w:val="22"/>
              </w:rPr>
              <w:t>-</w:t>
            </w:r>
            <w:r w:rsidRPr="00AD0410">
              <w:rPr>
                <w:b/>
                <w:sz w:val="22"/>
                <w:szCs w:val="22"/>
              </w:rPr>
              <w:t>01</w:t>
            </w:r>
            <w:r>
              <w:rPr>
                <w:b/>
                <w:sz w:val="22"/>
                <w:szCs w:val="22"/>
              </w:rPr>
              <w:t>-</w:t>
            </w:r>
            <w:r w:rsidRPr="00AD0410">
              <w:rPr>
                <w:b/>
                <w:sz w:val="22"/>
                <w:szCs w:val="22"/>
              </w:rPr>
              <w:t>01</w:t>
            </w:r>
          </w:p>
        </w:tc>
        <w:tc>
          <w:tcPr>
            <w:tcW w:w="1843" w:type="dxa"/>
            <w:shd w:val="clear" w:color="auto" w:fill="auto"/>
          </w:tcPr>
          <w:p w:rsidR="00775273" w:rsidRPr="00AD0410" w:rsidRDefault="00775273" w:rsidP="00775273">
            <w:pPr>
              <w:spacing w:after="120"/>
              <w:ind w:right="-1" w:firstLine="0"/>
              <w:jc w:val="center"/>
              <w:rPr>
                <w:b/>
                <w:sz w:val="22"/>
                <w:szCs w:val="22"/>
              </w:rPr>
            </w:pPr>
            <w:r w:rsidRPr="00AD0410">
              <w:rPr>
                <w:b/>
                <w:sz w:val="22"/>
                <w:szCs w:val="22"/>
              </w:rPr>
              <w:t>2014</w:t>
            </w:r>
            <w:r>
              <w:rPr>
                <w:b/>
                <w:sz w:val="22"/>
                <w:szCs w:val="22"/>
              </w:rPr>
              <w:t>-</w:t>
            </w:r>
            <w:r w:rsidRPr="00AD0410">
              <w:rPr>
                <w:b/>
                <w:sz w:val="22"/>
                <w:szCs w:val="22"/>
              </w:rPr>
              <w:t>01</w:t>
            </w:r>
            <w:r>
              <w:rPr>
                <w:b/>
                <w:sz w:val="22"/>
                <w:szCs w:val="22"/>
              </w:rPr>
              <w:t>-</w:t>
            </w:r>
            <w:r w:rsidRPr="00AD0410">
              <w:rPr>
                <w:b/>
                <w:sz w:val="22"/>
                <w:szCs w:val="22"/>
              </w:rPr>
              <w:t>01</w:t>
            </w:r>
          </w:p>
        </w:tc>
        <w:tc>
          <w:tcPr>
            <w:tcW w:w="1842" w:type="dxa"/>
            <w:shd w:val="clear" w:color="auto" w:fill="auto"/>
          </w:tcPr>
          <w:p w:rsidR="00775273" w:rsidRPr="00AD0410" w:rsidRDefault="00775273" w:rsidP="00775273">
            <w:pPr>
              <w:spacing w:after="120"/>
              <w:ind w:right="-1" w:firstLine="0"/>
              <w:jc w:val="center"/>
              <w:rPr>
                <w:b/>
                <w:sz w:val="22"/>
                <w:szCs w:val="22"/>
              </w:rPr>
            </w:pPr>
            <w:r w:rsidRPr="00AD0410">
              <w:rPr>
                <w:b/>
                <w:sz w:val="22"/>
                <w:szCs w:val="22"/>
              </w:rPr>
              <w:t>2015</w:t>
            </w:r>
            <w:r>
              <w:rPr>
                <w:b/>
                <w:sz w:val="22"/>
                <w:szCs w:val="22"/>
              </w:rPr>
              <w:t>-</w:t>
            </w:r>
            <w:r w:rsidRPr="00AD0410">
              <w:rPr>
                <w:b/>
                <w:sz w:val="22"/>
                <w:szCs w:val="22"/>
              </w:rPr>
              <w:t>01</w:t>
            </w:r>
            <w:r>
              <w:rPr>
                <w:b/>
                <w:sz w:val="22"/>
                <w:szCs w:val="22"/>
              </w:rPr>
              <w:t>-</w:t>
            </w:r>
            <w:r w:rsidRPr="00AD0410">
              <w:rPr>
                <w:b/>
                <w:sz w:val="22"/>
                <w:szCs w:val="22"/>
              </w:rPr>
              <w:t>01</w:t>
            </w:r>
          </w:p>
        </w:tc>
        <w:tc>
          <w:tcPr>
            <w:tcW w:w="1701" w:type="dxa"/>
            <w:shd w:val="clear" w:color="auto" w:fill="auto"/>
          </w:tcPr>
          <w:p w:rsidR="00775273" w:rsidRPr="00AD0410" w:rsidRDefault="00775273" w:rsidP="00775273">
            <w:pPr>
              <w:spacing w:after="120"/>
              <w:ind w:right="-1" w:firstLine="0"/>
              <w:jc w:val="center"/>
              <w:rPr>
                <w:b/>
                <w:sz w:val="22"/>
                <w:szCs w:val="22"/>
              </w:rPr>
            </w:pPr>
            <w:r w:rsidRPr="00AD0410">
              <w:rPr>
                <w:b/>
                <w:sz w:val="22"/>
                <w:szCs w:val="22"/>
              </w:rPr>
              <w:t>2016</w:t>
            </w:r>
            <w:r>
              <w:rPr>
                <w:b/>
                <w:sz w:val="22"/>
                <w:szCs w:val="22"/>
              </w:rPr>
              <w:t>-</w:t>
            </w:r>
            <w:r w:rsidRPr="00AD0410">
              <w:rPr>
                <w:b/>
                <w:sz w:val="22"/>
                <w:szCs w:val="22"/>
              </w:rPr>
              <w:t>01</w:t>
            </w:r>
            <w:r>
              <w:rPr>
                <w:b/>
                <w:sz w:val="22"/>
                <w:szCs w:val="22"/>
              </w:rPr>
              <w:t>-</w:t>
            </w:r>
            <w:r w:rsidRPr="00AD0410">
              <w:rPr>
                <w:b/>
                <w:sz w:val="22"/>
                <w:szCs w:val="22"/>
              </w:rPr>
              <w:t>01</w:t>
            </w:r>
          </w:p>
        </w:tc>
      </w:tr>
      <w:tr w:rsidR="00775273" w:rsidRPr="00AD0410" w:rsidTr="00E520EF">
        <w:tc>
          <w:tcPr>
            <w:tcW w:w="2376" w:type="dxa"/>
            <w:shd w:val="clear" w:color="auto" w:fill="auto"/>
          </w:tcPr>
          <w:p w:rsidR="00775273" w:rsidRPr="00AD0410" w:rsidRDefault="00775273" w:rsidP="00775273">
            <w:pPr>
              <w:spacing w:after="120"/>
              <w:ind w:right="-1" w:firstLine="0"/>
              <w:rPr>
                <w:sz w:val="22"/>
                <w:szCs w:val="22"/>
              </w:rPr>
            </w:pPr>
            <w:r w:rsidRPr="00AD0410">
              <w:rPr>
                <w:sz w:val="22"/>
                <w:szCs w:val="22"/>
              </w:rPr>
              <w:t>Bedarbių skaičius</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619</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498</w:t>
            </w:r>
          </w:p>
        </w:tc>
        <w:tc>
          <w:tcPr>
            <w:tcW w:w="1842" w:type="dxa"/>
            <w:shd w:val="clear" w:color="auto" w:fill="auto"/>
          </w:tcPr>
          <w:p w:rsidR="00775273" w:rsidRPr="00AD0410" w:rsidRDefault="00775273" w:rsidP="00E520EF">
            <w:pPr>
              <w:spacing w:after="120"/>
              <w:ind w:right="-1"/>
              <w:jc w:val="center"/>
              <w:rPr>
                <w:sz w:val="22"/>
                <w:szCs w:val="22"/>
              </w:rPr>
            </w:pPr>
            <w:r w:rsidRPr="00AD0410">
              <w:rPr>
                <w:sz w:val="22"/>
                <w:szCs w:val="22"/>
              </w:rPr>
              <w:t>467</w:t>
            </w:r>
          </w:p>
        </w:tc>
        <w:tc>
          <w:tcPr>
            <w:tcW w:w="1701" w:type="dxa"/>
            <w:shd w:val="clear" w:color="auto" w:fill="auto"/>
          </w:tcPr>
          <w:p w:rsidR="00775273" w:rsidRPr="00AD0410" w:rsidRDefault="00775273" w:rsidP="00E520EF">
            <w:pPr>
              <w:spacing w:after="120"/>
              <w:ind w:right="-1"/>
              <w:jc w:val="center"/>
              <w:rPr>
                <w:sz w:val="22"/>
                <w:szCs w:val="22"/>
              </w:rPr>
            </w:pPr>
            <w:r w:rsidRPr="00AD0410">
              <w:rPr>
                <w:sz w:val="22"/>
                <w:szCs w:val="22"/>
              </w:rPr>
              <w:t>410</w:t>
            </w:r>
          </w:p>
        </w:tc>
      </w:tr>
      <w:tr w:rsidR="00775273" w:rsidRPr="00AD0410" w:rsidTr="00E520EF">
        <w:tc>
          <w:tcPr>
            <w:tcW w:w="2376" w:type="dxa"/>
            <w:shd w:val="clear" w:color="auto" w:fill="auto"/>
          </w:tcPr>
          <w:p w:rsidR="00775273" w:rsidRPr="00AD0410" w:rsidRDefault="00775273" w:rsidP="00775273">
            <w:pPr>
              <w:spacing w:after="120"/>
              <w:ind w:right="-1" w:firstLine="0"/>
              <w:rPr>
                <w:b/>
                <w:i/>
                <w:sz w:val="22"/>
                <w:szCs w:val="22"/>
              </w:rPr>
            </w:pPr>
            <w:r w:rsidRPr="00AD0410">
              <w:rPr>
                <w:b/>
                <w:i/>
                <w:sz w:val="22"/>
                <w:szCs w:val="22"/>
              </w:rPr>
              <w:t>Bedarbių proc. nuo darbingo amžiaus gyventojų</w:t>
            </w:r>
          </w:p>
        </w:tc>
        <w:tc>
          <w:tcPr>
            <w:tcW w:w="1843" w:type="dxa"/>
            <w:shd w:val="clear" w:color="auto" w:fill="auto"/>
          </w:tcPr>
          <w:p w:rsidR="00775273" w:rsidRPr="00AD0410" w:rsidRDefault="00775273" w:rsidP="00E520EF">
            <w:pPr>
              <w:spacing w:after="120"/>
              <w:ind w:right="-1"/>
              <w:jc w:val="center"/>
              <w:rPr>
                <w:b/>
                <w:i/>
                <w:sz w:val="22"/>
                <w:szCs w:val="22"/>
              </w:rPr>
            </w:pPr>
            <w:r w:rsidRPr="00AD0410">
              <w:rPr>
                <w:b/>
                <w:i/>
                <w:sz w:val="22"/>
                <w:szCs w:val="22"/>
              </w:rPr>
              <w:t>11,97</w:t>
            </w:r>
          </w:p>
        </w:tc>
        <w:tc>
          <w:tcPr>
            <w:tcW w:w="1843" w:type="dxa"/>
            <w:shd w:val="clear" w:color="auto" w:fill="auto"/>
          </w:tcPr>
          <w:p w:rsidR="00775273" w:rsidRPr="00AD0410" w:rsidRDefault="00775273" w:rsidP="00E520EF">
            <w:pPr>
              <w:spacing w:after="120"/>
              <w:ind w:right="-1"/>
              <w:jc w:val="center"/>
              <w:rPr>
                <w:b/>
                <w:i/>
                <w:sz w:val="22"/>
                <w:szCs w:val="22"/>
              </w:rPr>
            </w:pPr>
            <w:r w:rsidRPr="00AD0410">
              <w:rPr>
                <w:b/>
                <w:i/>
                <w:sz w:val="22"/>
                <w:szCs w:val="22"/>
              </w:rPr>
              <w:t>9,73</w:t>
            </w:r>
          </w:p>
        </w:tc>
        <w:tc>
          <w:tcPr>
            <w:tcW w:w="1842" w:type="dxa"/>
            <w:shd w:val="clear" w:color="auto" w:fill="auto"/>
          </w:tcPr>
          <w:p w:rsidR="00775273" w:rsidRPr="00AD0410" w:rsidRDefault="00775273" w:rsidP="00E520EF">
            <w:pPr>
              <w:spacing w:after="120"/>
              <w:ind w:right="-1"/>
              <w:jc w:val="center"/>
              <w:rPr>
                <w:b/>
                <w:i/>
                <w:sz w:val="22"/>
                <w:szCs w:val="22"/>
              </w:rPr>
            </w:pPr>
            <w:r w:rsidRPr="00AD0410">
              <w:rPr>
                <w:b/>
                <w:i/>
                <w:sz w:val="22"/>
                <w:szCs w:val="22"/>
              </w:rPr>
              <w:t>9,19</w:t>
            </w:r>
          </w:p>
        </w:tc>
        <w:tc>
          <w:tcPr>
            <w:tcW w:w="1701" w:type="dxa"/>
            <w:shd w:val="clear" w:color="auto" w:fill="auto"/>
          </w:tcPr>
          <w:p w:rsidR="00775273" w:rsidRPr="00AD0410" w:rsidRDefault="00775273" w:rsidP="00E520EF">
            <w:pPr>
              <w:spacing w:after="120"/>
              <w:ind w:right="-1"/>
              <w:jc w:val="center"/>
              <w:rPr>
                <w:b/>
                <w:i/>
                <w:sz w:val="22"/>
                <w:szCs w:val="22"/>
              </w:rPr>
            </w:pPr>
            <w:r w:rsidRPr="00AD0410">
              <w:rPr>
                <w:b/>
                <w:i/>
                <w:sz w:val="22"/>
                <w:szCs w:val="22"/>
              </w:rPr>
              <w:t>8,2</w:t>
            </w:r>
          </w:p>
        </w:tc>
      </w:tr>
      <w:tr w:rsidR="00775273" w:rsidRPr="00AD0410" w:rsidTr="00E520EF">
        <w:tc>
          <w:tcPr>
            <w:tcW w:w="2376" w:type="dxa"/>
            <w:shd w:val="clear" w:color="auto" w:fill="auto"/>
          </w:tcPr>
          <w:p w:rsidR="00775273" w:rsidRPr="00AD0410" w:rsidRDefault="00775273" w:rsidP="00775273">
            <w:pPr>
              <w:spacing w:after="120"/>
              <w:ind w:right="-1" w:firstLine="0"/>
              <w:rPr>
                <w:sz w:val="22"/>
                <w:szCs w:val="22"/>
              </w:rPr>
            </w:pPr>
            <w:r w:rsidRPr="00AD0410">
              <w:rPr>
                <w:sz w:val="22"/>
                <w:szCs w:val="22"/>
              </w:rPr>
              <w:t>Moterų</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309</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286</w:t>
            </w:r>
          </w:p>
        </w:tc>
        <w:tc>
          <w:tcPr>
            <w:tcW w:w="1842" w:type="dxa"/>
            <w:shd w:val="clear" w:color="auto" w:fill="auto"/>
          </w:tcPr>
          <w:p w:rsidR="00775273" w:rsidRPr="00AD0410" w:rsidRDefault="00775273" w:rsidP="00E520EF">
            <w:pPr>
              <w:spacing w:after="120"/>
              <w:ind w:right="-1"/>
              <w:jc w:val="center"/>
              <w:rPr>
                <w:sz w:val="22"/>
                <w:szCs w:val="22"/>
              </w:rPr>
            </w:pPr>
            <w:r w:rsidRPr="00AD0410">
              <w:rPr>
                <w:sz w:val="22"/>
                <w:szCs w:val="22"/>
              </w:rPr>
              <w:t>259</w:t>
            </w:r>
          </w:p>
        </w:tc>
        <w:tc>
          <w:tcPr>
            <w:tcW w:w="1701" w:type="dxa"/>
            <w:shd w:val="clear" w:color="auto" w:fill="auto"/>
          </w:tcPr>
          <w:p w:rsidR="00775273" w:rsidRPr="00AD0410" w:rsidRDefault="00775273" w:rsidP="00E520EF">
            <w:pPr>
              <w:spacing w:after="120"/>
              <w:ind w:right="-1"/>
              <w:jc w:val="center"/>
              <w:rPr>
                <w:sz w:val="22"/>
                <w:szCs w:val="22"/>
              </w:rPr>
            </w:pPr>
            <w:r w:rsidRPr="00AD0410">
              <w:rPr>
                <w:sz w:val="22"/>
                <w:szCs w:val="22"/>
              </w:rPr>
              <w:t>206</w:t>
            </w:r>
          </w:p>
        </w:tc>
      </w:tr>
      <w:tr w:rsidR="00775273" w:rsidRPr="00AD0410" w:rsidTr="00E520EF">
        <w:tc>
          <w:tcPr>
            <w:tcW w:w="2376" w:type="dxa"/>
            <w:shd w:val="clear" w:color="auto" w:fill="auto"/>
          </w:tcPr>
          <w:p w:rsidR="00775273" w:rsidRPr="00AD0410" w:rsidRDefault="00775273" w:rsidP="00775273">
            <w:pPr>
              <w:spacing w:after="120"/>
              <w:ind w:right="-1" w:firstLine="0"/>
              <w:rPr>
                <w:sz w:val="22"/>
                <w:szCs w:val="22"/>
              </w:rPr>
            </w:pPr>
            <w:r w:rsidRPr="00AD0410">
              <w:rPr>
                <w:sz w:val="22"/>
                <w:szCs w:val="22"/>
              </w:rPr>
              <w:t>Vyrų</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405</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212</w:t>
            </w:r>
          </w:p>
        </w:tc>
        <w:tc>
          <w:tcPr>
            <w:tcW w:w="1842" w:type="dxa"/>
            <w:shd w:val="clear" w:color="auto" w:fill="auto"/>
          </w:tcPr>
          <w:p w:rsidR="00775273" w:rsidRPr="00AD0410" w:rsidRDefault="00775273" w:rsidP="00E520EF">
            <w:pPr>
              <w:spacing w:after="120"/>
              <w:ind w:right="-1"/>
              <w:jc w:val="center"/>
              <w:rPr>
                <w:sz w:val="22"/>
                <w:szCs w:val="22"/>
              </w:rPr>
            </w:pPr>
            <w:r w:rsidRPr="00AD0410">
              <w:rPr>
                <w:sz w:val="22"/>
                <w:szCs w:val="22"/>
              </w:rPr>
              <w:t>208</w:t>
            </w:r>
          </w:p>
        </w:tc>
        <w:tc>
          <w:tcPr>
            <w:tcW w:w="1701" w:type="dxa"/>
            <w:shd w:val="clear" w:color="auto" w:fill="auto"/>
          </w:tcPr>
          <w:p w:rsidR="00775273" w:rsidRPr="00AD0410" w:rsidRDefault="00775273" w:rsidP="00E520EF">
            <w:pPr>
              <w:spacing w:after="120"/>
              <w:ind w:right="-1"/>
              <w:jc w:val="center"/>
              <w:rPr>
                <w:sz w:val="22"/>
                <w:szCs w:val="22"/>
              </w:rPr>
            </w:pPr>
            <w:r w:rsidRPr="00AD0410">
              <w:rPr>
                <w:sz w:val="22"/>
                <w:szCs w:val="22"/>
              </w:rPr>
              <w:t>204</w:t>
            </w:r>
          </w:p>
        </w:tc>
      </w:tr>
      <w:tr w:rsidR="00775273" w:rsidRPr="00AD0410" w:rsidTr="00E520EF">
        <w:tc>
          <w:tcPr>
            <w:tcW w:w="2376" w:type="dxa"/>
            <w:shd w:val="clear" w:color="auto" w:fill="auto"/>
          </w:tcPr>
          <w:p w:rsidR="00775273" w:rsidRPr="00AD0410" w:rsidRDefault="00775273" w:rsidP="00F449BF">
            <w:pPr>
              <w:spacing w:after="120"/>
              <w:ind w:right="-1" w:firstLine="0"/>
              <w:rPr>
                <w:sz w:val="22"/>
                <w:szCs w:val="22"/>
              </w:rPr>
            </w:pPr>
            <w:r w:rsidRPr="00AD0410">
              <w:rPr>
                <w:sz w:val="22"/>
                <w:szCs w:val="22"/>
              </w:rPr>
              <w:t>Ilgalaikių bedarbių sk.</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125</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169</w:t>
            </w:r>
          </w:p>
        </w:tc>
        <w:tc>
          <w:tcPr>
            <w:tcW w:w="1842" w:type="dxa"/>
            <w:shd w:val="clear" w:color="auto" w:fill="auto"/>
          </w:tcPr>
          <w:p w:rsidR="00775273" w:rsidRPr="00AD0410" w:rsidRDefault="00775273" w:rsidP="00E520EF">
            <w:pPr>
              <w:spacing w:after="120"/>
              <w:ind w:right="-1"/>
              <w:jc w:val="center"/>
              <w:rPr>
                <w:sz w:val="22"/>
                <w:szCs w:val="22"/>
              </w:rPr>
            </w:pPr>
            <w:r w:rsidRPr="00AD0410">
              <w:rPr>
                <w:sz w:val="22"/>
                <w:szCs w:val="22"/>
              </w:rPr>
              <w:t>141</w:t>
            </w:r>
          </w:p>
        </w:tc>
        <w:tc>
          <w:tcPr>
            <w:tcW w:w="1701" w:type="dxa"/>
            <w:shd w:val="clear" w:color="auto" w:fill="auto"/>
          </w:tcPr>
          <w:p w:rsidR="00775273" w:rsidRPr="00AD0410" w:rsidRDefault="00775273" w:rsidP="00E520EF">
            <w:pPr>
              <w:spacing w:after="120"/>
              <w:ind w:right="-1"/>
              <w:jc w:val="center"/>
              <w:rPr>
                <w:sz w:val="22"/>
                <w:szCs w:val="22"/>
              </w:rPr>
            </w:pPr>
            <w:r w:rsidRPr="00AD0410">
              <w:rPr>
                <w:sz w:val="22"/>
                <w:szCs w:val="22"/>
              </w:rPr>
              <w:t>124</w:t>
            </w:r>
          </w:p>
        </w:tc>
      </w:tr>
      <w:tr w:rsidR="00775273" w:rsidRPr="00AD0410" w:rsidTr="00E520EF">
        <w:tc>
          <w:tcPr>
            <w:tcW w:w="2376" w:type="dxa"/>
            <w:shd w:val="clear" w:color="auto" w:fill="auto"/>
          </w:tcPr>
          <w:p w:rsidR="00775273" w:rsidRPr="00AD0410" w:rsidRDefault="00775273" w:rsidP="00775273">
            <w:pPr>
              <w:spacing w:after="120"/>
              <w:ind w:right="-1" w:firstLine="0"/>
              <w:rPr>
                <w:sz w:val="22"/>
                <w:szCs w:val="22"/>
              </w:rPr>
            </w:pPr>
            <w:r w:rsidRPr="00AD0410">
              <w:rPr>
                <w:sz w:val="22"/>
                <w:szCs w:val="22"/>
              </w:rPr>
              <w:t>Proc. nuo visų bedarbių</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20,2</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33,9</w:t>
            </w:r>
          </w:p>
        </w:tc>
        <w:tc>
          <w:tcPr>
            <w:tcW w:w="1842" w:type="dxa"/>
            <w:shd w:val="clear" w:color="auto" w:fill="auto"/>
          </w:tcPr>
          <w:p w:rsidR="00775273" w:rsidRPr="00AD0410" w:rsidRDefault="00775273" w:rsidP="00E520EF">
            <w:pPr>
              <w:spacing w:after="120"/>
              <w:ind w:right="-1"/>
              <w:jc w:val="center"/>
              <w:rPr>
                <w:sz w:val="22"/>
                <w:szCs w:val="22"/>
              </w:rPr>
            </w:pPr>
            <w:r w:rsidRPr="00AD0410">
              <w:rPr>
                <w:sz w:val="22"/>
                <w:szCs w:val="22"/>
              </w:rPr>
              <w:t>30,2</w:t>
            </w:r>
          </w:p>
        </w:tc>
        <w:tc>
          <w:tcPr>
            <w:tcW w:w="1701" w:type="dxa"/>
            <w:shd w:val="clear" w:color="auto" w:fill="auto"/>
          </w:tcPr>
          <w:p w:rsidR="00775273" w:rsidRPr="00AD0410" w:rsidRDefault="00775273" w:rsidP="00E520EF">
            <w:pPr>
              <w:spacing w:after="120"/>
              <w:ind w:right="-1"/>
              <w:jc w:val="center"/>
              <w:rPr>
                <w:sz w:val="22"/>
                <w:szCs w:val="22"/>
              </w:rPr>
            </w:pPr>
            <w:r w:rsidRPr="00AD0410">
              <w:rPr>
                <w:sz w:val="22"/>
                <w:szCs w:val="22"/>
              </w:rPr>
              <w:t>30,2</w:t>
            </w:r>
          </w:p>
        </w:tc>
      </w:tr>
      <w:tr w:rsidR="00775273" w:rsidRPr="00AD0410" w:rsidTr="00E520EF">
        <w:tc>
          <w:tcPr>
            <w:tcW w:w="2376" w:type="dxa"/>
            <w:shd w:val="clear" w:color="auto" w:fill="auto"/>
          </w:tcPr>
          <w:p w:rsidR="00775273" w:rsidRPr="00AD0410" w:rsidRDefault="00775273" w:rsidP="00775273">
            <w:pPr>
              <w:spacing w:after="120"/>
              <w:ind w:right="-1" w:firstLine="0"/>
              <w:rPr>
                <w:sz w:val="22"/>
                <w:szCs w:val="22"/>
              </w:rPr>
            </w:pPr>
            <w:r w:rsidRPr="00AD0410">
              <w:rPr>
                <w:sz w:val="22"/>
                <w:szCs w:val="22"/>
              </w:rPr>
              <w:t>Laisvų darbo vietų skaičius</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286</w:t>
            </w:r>
          </w:p>
        </w:tc>
        <w:tc>
          <w:tcPr>
            <w:tcW w:w="1843" w:type="dxa"/>
            <w:shd w:val="clear" w:color="auto" w:fill="auto"/>
          </w:tcPr>
          <w:p w:rsidR="00775273" w:rsidRPr="00AD0410" w:rsidRDefault="00775273" w:rsidP="00E520EF">
            <w:pPr>
              <w:spacing w:after="120"/>
              <w:ind w:right="-1"/>
              <w:jc w:val="center"/>
              <w:rPr>
                <w:sz w:val="22"/>
                <w:szCs w:val="22"/>
              </w:rPr>
            </w:pPr>
            <w:r w:rsidRPr="00AD0410">
              <w:rPr>
                <w:sz w:val="22"/>
                <w:szCs w:val="22"/>
              </w:rPr>
              <w:t>427</w:t>
            </w:r>
          </w:p>
        </w:tc>
        <w:tc>
          <w:tcPr>
            <w:tcW w:w="1842" w:type="dxa"/>
            <w:shd w:val="clear" w:color="auto" w:fill="auto"/>
          </w:tcPr>
          <w:p w:rsidR="00775273" w:rsidRPr="00AD0410" w:rsidRDefault="00775273" w:rsidP="00E520EF">
            <w:pPr>
              <w:spacing w:after="120"/>
              <w:ind w:right="-1"/>
              <w:jc w:val="center"/>
              <w:rPr>
                <w:sz w:val="22"/>
                <w:szCs w:val="22"/>
              </w:rPr>
            </w:pPr>
            <w:r w:rsidRPr="00AD0410">
              <w:rPr>
                <w:sz w:val="22"/>
                <w:szCs w:val="22"/>
              </w:rPr>
              <w:t>305</w:t>
            </w:r>
          </w:p>
        </w:tc>
        <w:tc>
          <w:tcPr>
            <w:tcW w:w="1701" w:type="dxa"/>
            <w:shd w:val="clear" w:color="auto" w:fill="auto"/>
          </w:tcPr>
          <w:p w:rsidR="00775273" w:rsidRPr="00AD0410" w:rsidRDefault="00775273" w:rsidP="00E520EF">
            <w:pPr>
              <w:spacing w:after="120"/>
              <w:ind w:right="-1"/>
              <w:jc w:val="center"/>
              <w:rPr>
                <w:sz w:val="22"/>
                <w:szCs w:val="22"/>
              </w:rPr>
            </w:pPr>
            <w:r w:rsidRPr="00AD0410">
              <w:rPr>
                <w:sz w:val="22"/>
                <w:szCs w:val="22"/>
              </w:rPr>
              <w:t>345</w:t>
            </w:r>
          </w:p>
        </w:tc>
      </w:tr>
      <w:tr w:rsidR="00775273" w:rsidRPr="00AD0410" w:rsidTr="00E520EF">
        <w:tc>
          <w:tcPr>
            <w:tcW w:w="2376" w:type="dxa"/>
            <w:shd w:val="clear" w:color="auto" w:fill="auto"/>
          </w:tcPr>
          <w:p w:rsidR="00775273" w:rsidRPr="00AD0410" w:rsidRDefault="00775273" w:rsidP="00775273">
            <w:pPr>
              <w:spacing w:after="120"/>
              <w:ind w:right="-1" w:firstLine="0"/>
              <w:jc w:val="left"/>
              <w:rPr>
                <w:sz w:val="22"/>
                <w:szCs w:val="22"/>
              </w:rPr>
            </w:pPr>
            <w:r w:rsidRPr="00AD0410">
              <w:rPr>
                <w:sz w:val="22"/>
                <w:szCs w:val="22"/>
              </w:rPr>
              <w:t>5 paklausiausios profesijos</w:t>
            </w:r>
          </w:p>
        </w:tc>
        <w:tc>
          <w:tcPr>
            <w:tcW w:w="1843" w:type="dxa"/>
            <w:shd w:val="clear" w:color="auto" w:fill="auto"/>
          </w:tcPr>
          <w:p w:rsidR="00775273" w:rsidRPr="00AD0410" w:rsidRDefault="00775273" w:rsidP="000A6ED0">
            <w:pPr>
              <w:numPr>
                <w:ilvl w:val="0"/>
                <w:numId w:val="12"/>
              </w:numPr>
              <w:tabs>
                <w:tab w:val="left" w:pos="324"/>
              </w:tabs>
              <w:ind w:left="277" w:right="-1" w:hanging="277"/>
              <w:jc w:val="left"/>
              <w:rPr>
                <w:sz w:val="22"/>
                <w:szCs w:val="22"/>
              </w:rPr>
            </w:pPr>
            <w:r w:rsidRPr="00AD0410">
              <w:rPr>
                <w:sz w:val="22"/>
                <w:szCs w:val="22"/>
              </w:rPr>
              <w:t>Tinkuotojas</w:t>
            </w:r>
            <w:r w:rsidR="00F449BF">
              <w:rPr>
                <w:sz w:val="22"/>
                <w:szCs w:val="22"/>
              </w:rPr>
              <w:t>.</w:t>
            </w:r>
          </w:p>
          <w:p w:rsidR="00775273" w:rsidRPr="00AD0410" w:rsidRDefault="00775273" w:rsidP="000A6ED0">
            <w:pPr>
              <w:numPr>
                <w:ilvl w:val="0"/>
                <w:numId w:val="12"/>
              </w:numPr>
              <w:tabs>
                <w:tab w:val="left" w:pos="324"/>
              </w:tabs>
              <w:ind w:left="277" w:right="-1" w:hanging="277"/>
              <w:jc w:val="left"/>
              <w:rPr>
                <w:sz w:val="22"/>
                <w:szCs w:val="22"/>
              </w:rPr>
            </w:pPr>
            <w:r w:rsidRPr="00AD0410">
              <w:rPr>
                <w:sz w:val="22"/>
                <w:szCs w:val="22"/>
              </w:rPr>
              <w:t>Mūrininkas</w:t>
            </w:r>
            <w:r w:rsidR="00F449BF">
              <w:rPr>
                <w:sz w:val="22"/>
                <w:szCs w:val="22"/>
              </w:rPr>
              <w:t>.</w:t>
            </w:r>
          </w:p>
          <w:p w:rsidR="00775273" w:rsidRPr="00AD0410" w:rsidRDefault="00775273" w:rsidP="000A6ED0">
            <w:pPr>
              <w:numPr>
                <w:ilvl w:val="0"/>
                <w:numId w:val="12"/>
              </w:numPr>
              <w:tabs>
                <w:tab w:val="left" w:pos="324"/>
              </w:tabs>
              <w:ind w:left="277" w:right="-1" w:hanging="277"/>
              <w:jc w:val="left"/>
              <w:rPr>
                <w:sz w:val="22"/>
                <w:szCs w:val="22"/>
              </w:rPr>
            </w:pPr>
            <w:r w:rsidRPr="00AD0410">
              <w:rPr>
                <w:sz w:val="22"/>
                <w:szCs w:val="22"/>
              </w:rPr>
              <w:t>Miško pjovėjas</w:t>
            </w:r>
            <w:r w:rsidR="00F449BF">
              <w:rPr>
                <w:sz w:val="22"/>
                <w:szCs w:val="22"/>
              </w:rPr>
              <w:t>.</w:t>
            </w:r>
          </w:p>
          <w:p w:rsidR="00775273" w:rsidRPr="00AD0410" w:rsidRDefault="00775273" w:rsidP="000A6ED0">
            <w:pPr>
              <w:numPr>
                <w:ilvl w:val="0"/>
                <w:numId w:val="12"/>
              </w:numPr>
              <w:tabs>
                <w:tab w:val="left" w:pos="324"/>
              </w:tabs>
              <w:ind w:left="277" w:right="-1" w:hanging="277"/>
              <w:jc w:val="left"/>
              <w:rPr>
                <w:sz w:val="22"/>
                <w:szCs w:val="22"/>
              </w:rPr>
            </w:pPr>
            <w:r w:rsidRPr="00AD0410">
              <w:rPr>
                <w:sz w:val="22"/>
                <w:szCs w:val="22"/>
              </w:rPr>
              <w:t>Medienos apdirbimo įrangos operatorius</w:t>
            </w:r>
            <w:r w:rsidR="00F449BF">
              <w:rPr>
                <w:sz w:val="22"/>
                <w:szCs w:val="22"/>
              </w:rPr>
              <w:t>.</w:t>
            </w:r>
          </w:p>
          <w:p w:rsidR="00775273" w:rsidRPr="00AD0410" w:rsidRDefault="00775273" w:rsidP="000A6ED0">
            <w:pPr>
              <w:numPr>
                <w:ilvl w:val="0"/>
                <w:numId w:val="12"/>
              </w:numPr>
              <w:tabs>
                <w:tab w:val="left" w:pos="324"/>
              </w:tabs>
              <w:ind w:left="277" w:right="-1" w:hanging="277"/>
              <w:jc w:val="left"/>
              <w:rPr>
                <w:sz w:val="22"/>
                <w:szCs w:val="22"/>
              </w:rPr>
            </w:pPr>
            <w:r w:rsidRPr="00AD0410">
              <w:rPr>
                <w:sz w:val="22"/>
                <w:szCs w:val="22"/>
              </w:rPr>
              <w:t>Pagalbinis darbininkas.</w:t>
            </w:r>
          </w:p>
        </w:tc>
        <w:tc>
          <w:tcPr>
            <w:tcW w:w="1843" w:type="dxa"/>
            <w:shd w:val="clear" w:color="auto" w:fill="auto"/>
          </w:tcPr>
          <w:p w:rsidR="00775273" w:rsidRPr="00AD0410" w:rsidRDefault="00775273" w:rsidP="000A6ED0">
            <w:pPr>
              <w:numPr>
                <w:ilvl w:val="0"/>
                <w:numId w:val="13"/>
              </w:numPr>
              <w:tabs>
                <w:tab w:val="left" w:pos="324"/>
              </w:tabs>
              <w:ind w:left="291" w:right="-1" w:hanging="291"/>
              <w:jc w:val="left"/>
              <w:rPr>
                <w:sz w:val="22"/>
                <w:szCs w:val="22"/>
              </w:rPr>
            </w:pPr>
            <w:r w:rsidRPr="00AD0410">
              <w:rPr>
                <w:sz w:val="22"/>
                <w:szCs w:val="22"/>
              </w:rPr>
              <w:t>Tinkuotojas</w:t>
            </w:r>
            <w:r w:rsidR="00F449BF">
              <w:rPr>
                <w:sz w:val="22"/>
                <w:szCs w:val="22"/>
              </w:rPr>
              <w:t>.</w:t>
            </w:r>
          </w:p>
          <w:p w:rsidR="00775273" w:rsidRPr="00AD0410" w:rsidRDefault="00775273" w:rsidP="000A6ED0">
            <w:pPr>
              <w:numPr>
                <w:ilvl w:val="0"/>
                <w:numId w:val="13"/>
              </w:numPr>
              <w:tabs>
                <w:tab w:val="left" w:pos="324"/>
              </w:tabs>
              <w:ind w:left="291" w:right="-1" w:hanging="291"/>
              <w:jc w:val="left"/>
              <w:rPr>
                <w:sz w:val="22"/>
                <w:szCs w:val="22"/>
              </w:rPr>
            </w:pPr>
            <w:r w:rsidRPr="00AD0410">
              <w:rPr>
                <w:sz w:val="22"/>
                <w:szCs w:val="22"/>
              </w:rPr>
              <w:t>Mūrininkas</w:t>
            </w:r>
            <w:r w:rsidR="00F449BF">
              <w:rPr>
                <w:sz w:val="22"/>
                <w:szCs w:val="22"/>
              </w:rPr>
              <w:t>.</w:t>
            </w:r>
          </w:p>
          <w:p w:rsidR="00775273" w:rsidRPr="00AD0410" w:rsidRDefault="00775273" w:rsidP="000A6ED0">
            <w:pPr>
              <w:numPr>
                <w:ilvl w:val="0"/>
                <w:numId w:val="13"/>
              </w:numPr>
              <w:tabs>
                <w:tab w:val="left" w:pos="324"/>
              </w:tabs>
              <w:ind w:left="291" w:right="-1" w:hanging="291"/>
              <w:jc w:val="left"/>
              <w:rPr>
                <w:sz w:val="22"/>
                <w:szCs w:val="22"/>
              </w:rPr>
            </w:pPr>
            <w:r w:rsidRPr="00AD0410">
              <w:rPr>
                <w:sz w:val="22"/>
                <w:szCs w:val="22"/>
              </w:rPr>
              <w:t>Miško pjovėjas</w:t>
            </w:r>
            <w:r w:rsidR="00F449BF">
              <w:rPr>
                <w:sz w:val="22"/>
                <w:szCs w:val="22"/>
              </w:rPr>
              <w:t>.</w:t>
            </w:r>
          </w:p>
          <w:p w:rsidR="00775273" w:rsidRPr="00AD0410" w:rsidRDefault="00775273" w:rsidP="000A6ED0">
            <w:pPr>
              <w:numPr>
                <w:ilvl w:val="0"/>
                <w:numId w:val="13"/>
              </w:numPr>
              <w:tabs>
                <w:tab w:val="left" w:pos="324"/>
              </w:tabs>
              <w:ind w:left="291" w:right="-1" w:hanging="291"/>
              <w:jc w:val="left"/>
              <w:rPr>
                <w:sz w:val="22"/>
                <w:szCs w:val="22"/>
              </w:rPr>
            </w:pPr>
            <w:r w:rsidRPr="00AD0410">
              <w:rPr>
                <w:sz w:val="22"/>
                <w:szCs w:val="22"/>
              </w:rPr>
              <w:t>Medienos apdirbimo įrangos operatorius</w:t>
            </w:r>
            <w:r w:rsidR="00F449BF">
              <w:rPr>
                <w:sz w:val="22"/>
                <w:szCs w:val="22"/>
              </w:rPr>
              <w:t>.</w:t>
            </w:r>
          </w:p>
          <w:p w:rsidR="00775273" w:rsidRPr="00AD0410" w:rsidRDefault="00775273" w:rsidP="000A6ED0">
            <w:pPr>
              <w:numPr>
                <w:ilvl w:val="0"/>
                <w:numId w:val="13"/>
              </w:numPr>
              <w:spacing w:after="120"/>
              <w:ind w:left="283" w:right="-1" w:hanging="283"/>
              <w:jc w:val="left"/>
              <w:rPr>
                <w:sz w:val="22"/>
                <w:szCs w:val="22"/>
              </w:rPr>
            </w:pPr>
            <w:r w:rsidRPr="00AD0410">
              <w:rPr>
                <w:sz w:val="22"/>
                <w:szCs w:val="22"/>
              </w:rPr>
              <w:t>Pagalbinis darbininkas.</w:t>
            </w:r>
          </w:p>
        </w:tc>
        <w:tc>
          <w:tcPr>
            <w:tcW w:w="1842" w:type="dxa"/>
            <w:shd w:val="clear" w:color="auto" w:fill="auto"/>
          </w:tcPr>
          <w:p w:rsidR="00775273" w:rsidRPr="00AD0410" w:rsidRDefault="00775273" w:rsidP="000A6ED0">
            <w:pPr>
              <w:numPr>
                <w:ilvl w:val="0"/>
                <w:numId w:val="14"/>
              </w:numPr>
              <w:tabs>
                <w:tab w:val="left" w:pos="229"/>
              </w:tabs>
              <w:ind w:left="242" w:right="-1"/>
              <w:jc w:val="left"/>
              <w:rPr>
                <w:sz w:val="22"/>
                <w:szCs w:val="22"/>
              </w:rPr>
            </w:pPr>
            <w:r w:rsidRPr="00AD0410">
              <w:rPr>
                <w:sz w:val="22"/>
                <w:szCs w:val="22"/>
              </w:rPr>
              <w:t>Plataus profilio statybininkas</w:t>
            </w:r>
            <w:r w:rsidR="00F449BF">
              <w:rPr>
                <w:sz w:val="22"/>
                <w:szCs w:val="22"/>
              </w:rPr>
              <w:t>.</w:t>
            </w:r>
          </w:p>
          <w:p w:rsidR="00775273" w:rsidRPr="00AD0410" w:rsidRDefault="00775273" w:rsidP="000A6ED0">
            <w:pPr>
              <w:numPr>
                <w:ilvl w:val="0"/>
                <w:numId w:val="14"/>
              </w:numPr>
              <w:tabs>
                <w:tab w:val="left" w:pos="229"/>
              </w:tabs>
              <w:ind w:left="242" w:right="-1"/>
              <w:jc w:val="left"/>
              <w:rPr>
                <w:sz w:val="22"/>
                <w:szCs w:val="22"/>
              </w:rPr>
            </w:pPr>
            <w:r w:rsidRPr="00AD0410">
              <w:rPr>
                <w:sz w:val="22"/>
                <w:szCs w:val="22"/>
              </w:rPr>
              <w:t xml:space="preserve">Šaltkalvis </w:t>
            </w:r>
            <w:r w:rsidR="00F449BF">
              <w:rPr>
                <w:sz w:val="22"/>
                <w:szCs w:val="22"/>
              </w:rPr>
              <w:t>–</w:t>
            </w:r>
            <w:r w:rsidRPr="00AD0410">
              <w:rPr>
                <w:sz w:val="22"/>
                <w:szCs w:val="22"/>
              </w:rPr>
              <w:t xml:space="preserve"> suvirintojas</w:t>
            </w:r>
            <w:r w:rsidR="00F449BF">
              <w:rPr>
                <w:sz w:val="22"/>
                <w:szCs w:val="22"/>
              </w:rPr>
              <w:t>.</w:t>
            </w:r>
          </w:p>
          <w:p w:rsidR="00775273" w:rsidRPr="00AD0410" w:rsidRDefault="00775273" w:rsidP="000A6ED0">
            <w:pPr>
              <w:numPr>
                <w:ilvl w:val="0"/>
                <w:numId w:val="14"/>
              </w:numPr>
              <w:tabs>
                <w:tab w:val="left" w:pos="229"/>
              </w:tabs>
              <w:ind w:left="242" w:right="-1"/>
              <w:jc w:val="left"/>
              <w:rPr>
                <w:sz w:val="22"/>
                <w:szCs w:val="22"/>
              </w:rPr>
            </w:pPr>
            <w:r w:rsidRPr="00AD0410">
              <w:rPr>
                <w:sz w:val="22"/>
                <w:szCs w:val="22"/>
              </w:rPr>
              <w:t>Tolimųjų reisų vairuotojas</w:t>
            </w:r>
            <w:r w:rsidR="00F449BF">
              <w:rPr>
                <w:sz w:val="22"/>
                <w:szCs w:val="22"/>
              </w:rPr>
              <w:t>.</w:t>
            </w:r>
          </w:p>
          <w:p w:rsidR="00775273" w:rsidRPr="00AD0410" w:rsidRDefault="00775273" w:rsidP="000A6ED0">
            <w:pPr>
              <w:numPr>
                <w:ilvl w:val="0"/>
                <w:numId w:val="14"/>
              </w:numPr>
              <w:tabs>
                <w:tab w:val="left" w:pos="229"/>
              </w:tabs>
              <w:ind w:left="242" w:right="-1"/>
              <w:jc w:val="left"/>
              <w:rPr>
                <w:sz w:val="22"/>
                <w:szCs w:val="22"/>
              </w:rPr>
            </w:pPr>
            <w:r w:rsidRPr="00AD0410">
              <w:rPr>
                <w:sz w:val="22"/>
                <w:szCs w:val="22"/>
              </w:rPr>
              <w:t>Medienos apdirbimo įrangos operatorius</w:t>
            </w:r>
            <w:r w:rsidR="00F449BF">
              <w:rPr>
                <w:sz w:val="22"/>
                <w:szCs w:val="22"/>
              </w:rPr>
              <w:t>.</w:t>
            </w:r>
          </w:p>
          <w:p w:rsidR="00775273" w:rsidRPr="00AD0410" w:rsidRDefault="00775273" w:rsidP="000A6ED0">
            <w:pPr>
              <w:numPr>
                <w:ilvl w:val="0"/>
                <w:numId w:val="14"/>
              </w:numPr>
              <w:tabs>
                <w:tab w:val="left" w:pos="229"/>
              </w:tabs>
              <w:ind w:left="242" w:right="-1"/>
              <w:jc w:val="left"/>
              <w:rPr>
                <w:sz w:val="22"/>
                <w:szCs w:val="22"/>
              </w:rPr>
            </w:pPr>
            <w:r w:rsidRPr="00AD0410">
              <w:rPr>
                <w:sz w:val="22"/>
                <w:szCs w:val="22"/>
              </w:rPr>
              <w:t>Pardavėjas.</w:t>
            </w:r>
          </w:p>
        </w:tc>
        <w:tc>
          <w:tcPr>
            <w:tcW w:w="1701" w:type="dxa"/>
            <w:shd w:val="clear" w:color="auto" w:fill="auto"/>
          </w:tcPr>
          <w:p w:rsidR="00775273" w:rsidRPr="00F449BF" w:rsidRDefault="00775273" w:rsidP="00775273">
            <w:pPr>
              <w:numPr>
                <w:ilvl w:val="0"/>
                <w:numId w:val="15"/>
              </w:numPr>
              <w:tabs>
                <w:tab w:val="left" w:pos="229"/>
              </w:tabs>
              <w:ind w:left="242" w:right="-1"/>
              <w:jc w:val="left"/>
              <w:rPr>
                <w:sz w:val="22"/>
                <w:szCs w:val="22"/>
              </w:rPr>
            </w:pPr>
            <w:r w:rsidRPr="00F449BF">
              <w:rPr>
                <w:sz w:val="22"/>
                <w:szCs w:val="22"/>
              </w:rPr>
              <w:t>Plataus profilio statybininkas</w:t>
            </w:r>
            <w:r w:rsidR="00F449BF" w:rsidRPr="00F449BF">
              <w:rPr>
                <w:sz w:val="22"/>
                <w:szCs w:val="22"/>
              </w:rPr>
              <w:t>.</w:t>
            </w:r>
          </w:p>
          <w:p w:rsidR="00775273" w:rsidRPr="00AD0410" w:rsidRDefault="00775273" w:rsidP="000A6ED0">
            <w:pPr>
              <w:numPr>
                <w:ilvl w:val="0"/>
                <w:numId w:val="15"/>
              </w:numPr>
              <w:tabs>
                <w:tab w:val="left" w:pos="229"/>
              </w:tabs>
              <w:ind w:left="242" w:right="-1"/>
              <w:jc w:val="left"/>
              <w:rPr>
                <w:sz w:val="22"/>
                <w:szCs w:val="22"/>
              </w:rPr>
            </w:pPr>
            <w:r w:rsidRPr="00AD0410">
              <w:rPr>
                <w:sz w:val="22"/>
                <w:szCs w:val="22"/>
              </w:rPr>
              <w:t>Šaltkalvis-suvirintojas</w:t>
            </w:r>
            <w:r w:rsidR="00F449BF">
              <w:rPr>
                <w:sz w:val="22"/>
                <w:szCs w:val="22"/>
              </w:rPr>
              <w:t>.</w:t>
            </w:r>
          </w:p>
          <w:p w:rsidR="00775273" w:rsidRPr="00AD0410" w:rsidRDefault="00775273" w:rsidP="000A6ED0">
            <w:pPr>
              <w:numPr>
                <w:ilvl w:val="0"/>
                <w:numId w:val="15"/>
              </w:numPr>
              <w:tabs>
                <w:tab w:val="left" w:pos="229"/>
              </w:tabs>
              <w:ind w:left="242" w:right="-1"/>
              <w:jc w:val="left"/>
              <w:rPr>
                <w:sz w:val="22"/>
                <w:szCs w:val="22"/>
              </w:rPr>
            </w:pPr>
            <w:r w:rsidRPr="00AD0410">
              <w:rPr>
                <w:sz w:val="22"/>
                <w:szCs w:val="22"/>
              </w:rPr>
              <w:t>Tolimųjų reisų vairuotojas</w:t>
            </w:r>
            <w:r w:rsidR="00F449BF">
              <w:rPr>
                <w:sz w:val="22"/>
                <w:szCs w:val="22"/>
              </w:rPr>
              <w:t>.</w:t>
            </w:r>
          </w:p>
          <w:p w:rsidR="00775273" w:rsidRPr="00AD0410" w:rsidRDefault="00775273" w:rsidP="000A6ED0">
            <w:pPr>
              <w:numPr>
                <w:ilvl w:val="0"/>
                <w:numId w:val="15"/>
              </w:numPr>
              <w:tabs>
                <w:tab w:val="left" w:pos="229"/>
              </w:tabs>
              <w:ind w:left="242" w:right="-1"/>
              <w:jc w:val="left"/>
              <w:rPr>
                <w:sz w:val="22"/>
                <w:szCs w:val="22"/>
              </w:rPr>
            </w:pPr>
            <w:r w:rsidRPr="00AD0410">
              <w:rPr>
                <w:sz w:val="22"/>
                <w:szCs w:val="22"/>
              </w:rPr>
              <w:t>Medienos apdirbimo įrangos operatorius</w:t>
            </w:r>
            <w:r w:rsidR="00F449BF">
              <w:rPr>
                <w:sz w:val="22"/>
                <w:szCs w:val="22"/>
              </w:rPr>
              <w:t>.</w:t>
            </w:r>
          </w:p>
          <w:p w:rsidR="00775273" w:rsidRPr="00AD0410" w:rsidRDefault="00775273" w:rsidP="000A6ED0">
            <w:pPr>
              <w:numPr>
                <w:ilvl w:val="0"/>
                <w:numId w:val="15"/>
              </w:numPr>
              <w:tabs>
                <w:tab w:val="left" w:pos="229"/>
              </w:tabs>
              <w:ind w:left="242" w:right="-1"/>
              <w:jc w:val="left"/>
              <w:rPr>
                <w:sz w:val="22"/>
                <w:szCs w:val="22"/>
              </w:rPr>
            </w:pPr>
            <w:r w:rsidRPr="00AD0410">
              <w:rPr>
                <w:sz w:val="22"/>
                <w:szCs w:val="22"/>
              </w:rPr>
              <w:t>Pardavėjas.</w:t>
            </w:r>
          </w:p>
        </w:tc>
      </w:tr>
    </w:tbl>
    <w:p w:rsidR="00775273" w:rsidRPr="00AD0410" w:rsidRDefault="00775273" w:rsidP="00775273">
      <w:pPr>
        <w:ind w:right="-1"/>
      </w:pPr>
    </w:p>
    <w:p w:rsidR="00094471" w:rsidRPr="00310BA9" w:rsidRDefault="00094471" w:rsidP="00A01088">
      <w:pPr>
        <w:jc w:val="left"/>
        <w:rPr>
          <w:szCs w:val="24"/>
        </w:rPr>
      </w:pPr>
      <w:r w:rsidRPr="00310BA9">
        <w:rPr>
          <w:szCs w:val="24"/>
        </w:rPr>
        <w:t xml:space="preserve">Kalbant apie vyraujančias ūkio subjektų teisines formas, pastebimas uždarųjų akcinių bendrovių skaičiaus </w:t>
      </w:r>
      <w:r w:rsidRPr="00A42C55">
        <w:rPr>
          <w:szCs w:val="24"/>
        </w:rPr>
        <w:t>didėjimas</w:t>
      </w:r>
      <w:r w:rsidRPr="00310BA9">
        <w:rPr>
          <w:szCs w:val="24"/>
        </w:rPr>
        <w:t xml:space="preserve"> Rietavo savivaldybėje</w:t>
      </w:r>
      <w:r w:rsidR="00A42C55">
        <w:rPr>
          <w:szCs w:val="24"/>
        </w:rPr>
        <w:t>,</w:t>
      </w:r>
      <w:r w:rsidRPr="00310BA9">
        <w:rPr>
          <w:szCs w:val="24"/>
        </w:rPr>
        <w:t xml:space="preserve"> lygin</w:t>
      </w:r>
      <w:r w:rsidR="00A42C55">
        <w:rPr>
          <w:szCs w:val="24"/>
        </w:rPr>
        <w:t>ant</w:t>
      </w:r>
      <w:r w:rsidRPr="00310BA9">
        <w:rPr>
          <w:szCs w:val="24"/>
        </w:rPr>
        <w:t xml:space="preserve"> 2013 i</w:t>
      </w:r>
      <w:r w:rsidR="00A42C55">
        <w:rPr>
          <w:szCs w:val="24"/>
        </w:rPr>
        <w:t>r</w:t>
      </w:r>
      <w:r w:rsidRPr="00310BA9">
        <w:rPr>
          <w:szCs w:val="24"/>
        </w:rPr>
        <w:t xml:space="preserve"> 2015 metų metinius </w:t>
      </w:r>
      <w:r w:rsidRPr="00310BA9">
        <w:rPr>
          <w:szCs w:val="24"/>
        </w:rPr>
        <w:lastRenderedPageBreak/>
        <w:t xml:space="preserve">rezultatus (nuo </w:t>
      </w:r>
      <w:r w:rsidRPr="003F555A">
        <w:rPr>
          <w:szCs w:val="24"/>
        </w:rPr>
        <w:t>8</w:t>
      </w:r>
      <w:r w:rsidRPr="00310BA9">
        <w:rPr>
          <w:szCs w:val="24"/>
        </w:rPr>
        <w:t xml:space="preserve">3 iki </w:t>
      </w:r>
      <w:r w:rsidRPr="003F555A">
        <w:rPr>
          <w:szCs w:val="24"/>
        </w:rPr>
        <w:t>89</w:t>
      </w:r>
      <w:r w:rsidRPr="00310BA9">
        <w:rPr>
          <w:szCs w:val="24"/>
        </w:rPr>
        <w:t xml:space="preserve"> vienetų), mažųjų bendrijų </w:t>
      </w:r>
      <w:r w:rsidR="00A42C55">
        <w:rPr>
          <w:szCs w:val="24"/>
        </w:rPr>
        <w:t xml:space="preserve">– </w:t>
      </w:r>
      <w:r w:rsidRPr="00310BA9">
        <w:rPr>
          <w:szCs w:val="24"/>
        </w:rPr>
        <w:t xml:space="preserve">nuo </w:t>
      </w:r>
      <w:r w:rsidRPr="003F555A">
        <w:rPr>
          <w:szCs w:val="24"/>
        </w:rPr>
        <w:t>3 iki 4.</w:t>
      </w:r>
      <w:r>
        <w:rPr>
          <w:szCs w:val="24"/>
        </w:rPr>
        <w:t xml:space="preserve"> </w:t>
      </w:r>
      <w:r w:rsidRPr="00310BA9">
        <w:rPr>
          <w:szCs w:val="24"/>
        </w:rPr>
        <w:t>Individualių įmonių skaičius, lygin</w:t>
      </w:r>
      <w:r w:rsidR="00A42C55">
        <w:rPr>
          <w:szCs w:val="24"/>
        </w:rPr>
        <w:t>ant</w:t>
      </w:r>
      <w:r w:rsidRPr="00310BA9">
        <w:rPr>
          <w:szCs w:val="24"/>
        </w:rPr>
        <w:t xml:space="preserve"> </w:t>
      </w:r>
      <w:r w:rsidRPr="003F555A">
        <w:rPr>
          <w:szCs w:val="24"/>
        </w:rPr>
        <w:t>2</w:t>
      </w:r>
      <w:r w:rsidRPr="00310BA9">
        <w:rPr>
          <w:szCs w:val="24"/>
        </w:rPr>
        <w:t>013 - 2015 metų rezultatus</w:t>
      </w:r>
      <w:r w:rsidR="00A42C55">
        <w:rPr>
          <w:szCs w:val="24"/>
        </w:rPr>
        <w:t>,</w:t>
      </w:r>
      <w:r w:rsidRPr="00310BA9">
        <w:rPr>
          <w:szCs w:val="24"/>
        </w:rPr>
        <w:t xml:space="preserve"> sumažėjo nuo </w:t>
      </w:r>
      <w:r w:rsidRPr="003F555A">
        <w:rPr>
          <w:szCs w:val="24"/>
        </w:rPr>
        <w:t>41</w:t>
      </w:r>
      <w:r w:rsidRPr="00310BA9">
        <w:rPr>
          <w:szCs w:val="24"/>
        </w:rPr>
        <w:t xml:space="preserve"> iki 38 juridinių vienetų</w:t>
      </w:r>
      <w:r>
        <w:rPr>
          <w:szCs w:val="24"/>
        </w:rPr>
        <w:t>.</w:t>
      </w:r>
    </w:p>
    <w:p w:rsidR="00775273" w:rsidRDefault="00F449BF" w:rsidP="00A01088">
      <w:pPr>
        <w:jc w:val="left"/>
        <w:rPr>
          <w:szCs w:val="24"/>
        </w:rPr>
      </w:pPr>
      <w:r w:rsidRPr="00AD0410">
        <w:rPr>
          <w:szCs w:val="24"/>
        </w:rPr>
        <w:t>Pagrindinės š</w:t>
      </w:r>
      <w:r w:rsidR="00775273" w:rsidRPr="00AD0410">
        <w:rPr>
          <w:szCs w:val="24"/>
        </w:rPr>
        <w:t>ių pokyčių priežastys</w:t>
      </w:r>
      <w:r>
        <w:rPr>
          <w:szCs w:val="24"/>
        </w:rPr>
        <w:t xml:space="preserve"> –</w:t>
      </w:r>
      <w:r w:rsidR="009352D3">
        <w:rPr>
          <w:szCs w:val="24"/>
        </w:rPr>
        <w:t xml:space="preserve"> </w:t>
      </w:r>
      <w:r w:rsidR="00775273" w:rsidRPr="00AD0410">
        <w:rPr>
          <w:szCs w:val="24"/>
        </w:rPr>
        <w:t>per ekonominį  sunkmetį</w:t>
      </w:r>
      <w:r w:rsidR="00A42C55" w:rsidRPr="00A42C55">
        <w:rPr>
          <w:szCs w:val="24"/>
        </w:rPr>
        <w:t xml:space="preserve"> </w:t>
      </w:r>
      <w:r w:rsidR="00A42C55" w:rsidRPr="00AD0410">
        <w:rPr>
          <w:szCs w:val="24"/>
        </w:rPr>
        <w:t>išmoktos pamokos</w:t>
      </w:r>
      <w:r w:rsidR="00775273" w:rsidRPr="00AD0410">
        <w:rPr>
          <w:szCs w:val="24"/>
        </w:rPr>
        <w:t>, mokesčių sistemos pertvarkos, padidėjusi verslo rizika, finansavimo galimybės ES SF teikiamos galimybės, kuriomis siekiant pasinaudoti nenorima rizikuoti savo asmeniniu turtu.</w:t>
      </w:r>
    </w:p>
    <w:p w:rsidR="00E97ECA" w:rsidRPr="00630125" w:rsidRDefault="00094471" w:rsidP="00775273">
      <w:pPr>
        <w:ind w:firstLine="0"/>
        <w:jc w:val="left"/>
        <w:rPr>
          <w:i/>
          <w:noProof/>
          <w:lang w:eastAsia="lt-LT"/>
        </w:rPr>
      </w:pPr>
      <w:r>
        <w:rPr>
          <w:i/>
          <w:noProof/>
          <w:lang w:eastAsia="lt-LT"/>
        </w:rPr>
        <w:drawing>
          <wp:inline distT="0" distB="0" distL="0" distR="0">
            <wp:extent cx="6026785" cy="3331845"/>
            <wp:effectExtent l="19050" t="0" r="0" b="0"/>
            <wp:docPr id="40"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srcRect/>
                    <a:stretch>
                      <a:fillRect/>
                    </a:stretch>
                  </pic:blipFill>
                  <pic:spPr bwMode="auto">
                    <a:xfrm>
                      <a:off x="0" y="0"/>
                      <a:ext cx="6026785" cy="3331845"/>
                    </a:xfrm>
                    <a:prstGeom prst="rect">
                      <a:avLst/>
                    </a:prstGeom>
                    <a:noFill/>
                    <a:ln w="9525">
                      <a:noFill/>
                      <a:miter lim="800000"/>
                      <a:headEnd/>
                      <a:tailEnd/>
                    </a:ln>
                  </pic:spPr>
                </pic:pic>
              </a:graphicData>
            </a:graphic>
          </wp:inline>
        </w:drawing>
      </w:r>
    </w:p>
    <w:p w:rsidR="00775273" w:rsidRDefault="00775273" w:rsidP="00E97ECA">
      <w:pPr>
        <w:ind w:right="-1"/>
        <w:rPr>
          <w:b/>
          <w:bCs/>
          <w:i/>
          <w:color w:val="333333"/>
          <w:szCs w:val="24"/>
        </w:rPr>
      </w:pPr>
    </w:p>
    <w:p w:rsidR="00094471" w:rsidRPr="00094471" w:rsidRDefault="00094471" w:rsidP="00A01088">
      <w:pPr>
        <w:jc w:val="left"/>
        <w:rPr>
          <w:szCs w:val="24"/>
        </w:rPr>
      </w:pPr>
      <w:r w:rsidRPr="00094471">
        <w:rPr>
          <w:szCs w:val="24"/>
        </w:rPr>
        <w:t>Remiantis Lietuvos statistikos departamento duomenimis</w:t>
      </w:r>
      <w:r>
        <w:rPr>
          <w:szCs w:val="24"/>
        </w:rPr>
        <w:t>,</w:t>
      </w:r>
      <w:r w:rsidRPr="00094471">
        <w:rPr>
          <w:szCs w:val="24"/>
        </w:rPr>
        <w:t xml:space="preserve"> 201</w:t>
      </w:r>
      <w:r w:rsidRPr="00094471">
        <w:rPr>
          <w:szCs w:val="24"/>
          <w:lang w:val="en-US"/>
        </w:rPr>
        <w:t>5</w:t>
      </w:r>
      <w:r w:rsidRPr="00094471">
        <w:rPr>
          <w:szCs w:val="24"/>
        </w:rPr>
        <w:t xml:space="preserve"> m. pabaigoje Rietavo savivaldybėje veik</w:t>
      </w:r>
      <w:r w:rsidR="00A42C55">
        <w:rPr>
          <w:szCs w:val="24"/>
        </w:rPr>
        <w:t>ė</w:t>
      </w:r>
      <w:r w:rsidRPr="00094471">
        <w:rPr>
          <w:szCs w:val="24"/>
        </w:rPr>
        <w:t xml:space="preserve"> </w:t>
      </w:r>
      <w:r w:rsidRPr="00094471">
        <w:rPr>
          <w:szCs w:val="24"/>
          <w:lang w:val="en-US"/>
        </w:rPr>
        <w:t>175</w:t>
      </w:r>
      <w:r w:rsidRPr="00094471">
        <w:rPr>
          <w:szCs w:val="24"/>
        </w:rPr>
        <w:t xml:space="preserve"> ūkio subjektai. Pagrindinėmis ūkio šakomis galima vadinti prekybą ir transport</w:t>
      </w:r>
      <w:r>
        <w:rPr>
          <w:szCs w:val="24"/>
        </w:rPr>
        <w:t>ą</w:t>
      </w:r>
      <w:r w:rsidRPr="00094471">
        <w:rPr>
          <w:szCs w:val="24"/>
        </w:rPr>
        <w:t xml:space="preserve"> (šiomis ūkio šakomis užsiima 20 proc. visų veikiančių įmonių Savivaldybėje), žemės ūkį, miškininkystę ir žuvininkystę (užsiima 14 proc. visų įmonių Savivaldybėje), apdirbam</w:t>
      </w:r>
      <w:r>
        <w:rPr>
          <w:szCs w:val="24"/>
        </w:rPr>
        <w:t>ąją</w:t>
      </w:r>
      <w:r w:rsidRPr="00094471">
        <w:rPr>
          <w:szCs w:val="24"/>
        </w:rPr>
        <w:t xml:space="preserve"> gamyb</w:t>
      </w:r>
      <w:r>
        <w:rPr>
          <w:szCs w:val="24"/>
        </w:rPr>
        <w:t>ą</w:t>
      </w:r>
      <w:r w:rsidRPr="00094471">
        <w:rPr>
          <w:szCs w:val="24"/>
        </w:rPr>
        <w:t xml:space="preserve"> (dirba 8 proc. įmonių) i</w:t>
      </w:r>
      <w:r>
        <w:rPr>
          <w:szCs w:val="24"/>
        </w:rPr>
        <w:t>r</w:t>
      </w:r>
      <w:r w:rsidRPr="00094471">
        <w:rPr>
          <w:szCs w:val="24"/>
        </w:rPr>
        <w:t xml:space="preserve"> statybą (6 proc. įmonių). </w:t>
      </w:r>
    </w:p>
    <w:p w:rsidR="00094471" w:rsidRDefault="00094471" w:rsidP="00A01088">
      <w:pPr>
        <w:jc w:val="left"/>
        <w:rPr>
          <w:szCs w:val="24"/>
        </w:rPr>
      </w:pPr>
      <w:r w:rsidRPr="00094471">
        <w:rPr>
          <w:szCs w:val="24"/>
        </w:rPr>
        <w:t xml:space="preserve">Prekybos plėtojimui itin aktuali yra rinkodara, klientų pritraukimas, progos prekybos skatinimui. Šiai verslo sričiai kultūros renginių gausa turi tiesioginį pozityvų poveikį. Ūkininkų, žuvininkų ar miškininkų įtraukimui ir sudominimui kaip kultūros veiklų erdvė </w:t>
      </w:r>
      <w:r w:rsidR="00A42C55" w:rsidRPr="00094471">
        <w:rPr>
          <w:szCs w:val="24"/>
        </w:rPr>
        <w:t xml:space="preserve">gali būti </w:t>
      </w:r>
      <w:r w:rsidRPr="00094471">
        <w:rPr>
          <w:szCs w:val="24"/>
        </w:rPr>
        <w:t xml:space="preserve">pasitelkiama ūkio teritorija, joje esantys objektai, taip pat aktualios tradicinės ūkininkams skirtos šventės </w:t>
      </w:r>
      <w:r w:rsidR="000D6B8F">
        <w:rPr>
          <w:szCs w:val="24"/>
        </w:rPr>
        <w:t>(</w:t>
      </w:r>
      <w:r w:rsidRPr="00094471">
        <w:rPr>
          <w:szCs w:val="24"/>
        </w:rPr>
        <w:t>rugiapjūtė ar pan.</w:t>
      </w:r>
      <w:r w:rsidR="000D6B8F">
        <w:rPr>
          <w:szCs w:val="24"/>
        </w:rPr>
        <w:t>).</w:t>
      </w:r>
      <w:r w:rsidRPr="00AD0410">
        <w:rPr>
          <w:szCs w:val="24"/>
        </w:rPr>
        <w:t xml:space="preserve"> </w:t>
      </w:r>
    </w:p>
    <w:p w:rsidR="000D6B8F" w:rsidRDefault="000D6B8F" w:rsidP="000D6B8F">
      <w:pPr>
        <w:ind w:firstLine="0"/>
        <w:rPr>
          <w:i/>
        </w:rPr>
      </w:pPr>
      <w:r>
        <w:rPr>
          <w:i/>
          <w:noProof/>
          <w:lang w:eastAsia="lt-LT"/>
        </w:rPr>
        <w:lastRenderedPageBreak/>
        <w:drawing>
          <wp:anchor distT="0" distB="0" distL="114300" distR="114300" simplePos="0" relativeHeight="251705344" behindDoc="1" locked="0" layoutInCell="1" allowOverlap="1">
            <wp:simplePos x="0" y="0"/>
            <wp:positionH relativeFrom="column">
              <wp:posOffset>425450</wp:posOffset>
            </wp:positionH>
            <wp:positionV relativeFrom="paragraph">
              <wp:posOffset>114300</wp:posOffset>
            </wp:positionV>
            <wp:extent cx="5623560" cy="4661535"/>
            <wp:effectExtent l="19050" t="0" r="0" b="0"/>
            <wp:wrapTight wrapText="bothSides">
              <wp:wrapPolygon edited="0">
                <wp:start x="-73" y="0"/>
                <wp:lineTo x="-73" y="21538"/>
                <wp:lineTo x="21585" y="21538"/>
                <wp:lineTo x="21585" y="0"/>
                <wp:lineTo x="-73" y="0"/>
              </wp:wrapPolygon>
            </wp:wrapTight>
            <wp:docPr id="64"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srcRect/>
                    <a:stretch>
                      <a:fillRect/>
                    </a:stretch>
                  </pic:blipFill>
                  <pic:spPr bwMode="auto">
                    <a:xfrm>
                      <a:off x="0" y="0"/>
                      <a:ext cx="5623560" cy="4661535"/>
                    </a:xfrm>
                    <a:prstGeom prst="rect">
                      <a:avLst/>
                    </a:prstGeom>
                    <a:noFill/>
                  </pic:spPr>
                </pic:pic>
              </a:graphicData>
            </a:graphic>
          </wp:anchor>
        </w:drawing>
      </w:r>
    </w:p>
    <w:p w:rsidR="000D6B8F" w:rsidRDefault="000D6B8F" w:rsidP="00E97ECA">
      <w:pPr>
        <w:rPr>
          <w:i/>
        </w:rPr>
      </w:pPr>
    </w:p>
    <w:p w:rsidR="000D6B8F" w:rsidRDefault="000D6B8F" w:rsidP="00E97ECA">
      <w:pPr>
        <w:rPr>
          <w:i/>
        </w:rPr>
      </w:pPr>
    </w:p>
    <w:p w:rsidR="000D6B8F" w:rsidRDefault="000D6B8F" w:rsidP="00E97ECA">
      <w:pPr>
        <w:rPr>
          <w:i/>
        </w:rPr>
      </w:pPr>
    </w:p>
    <w:p w:rsidR="000D6B8F" w:rsidRDefault="000D6B8F" w:rsidP="00E97ECA">
      <w:pPr>
        <w:rPr>
          <w:i/>
        </w:rPr>
      </w:pPr>
    </w:p>
    <w:p w:rsidR="000D6B8F" w:rsidRDefault="000D6B8F" w:rsidP="00E97ECA">
      <w:pPr>
        <w:rPr>
          <w:i/>
        </w:rPr>
      </w:pPr>
    </w:p>
    <w:p w:rsidR="000D6B8F" w:rsidRDefault="000D6B8F" w:rsidP="00E97ECA">
      <w:pPr>
        <w:rPr>
          <w:i/>
        </w:rPr>
      </w:pPr>
    </w:p>
    <w:p w:rsidR="000D6B8F" w:rsidRDefault="000D6B8F" w:rsidP="00E97ECA">
      <w:pPr>
        <w:rPr>
          <w:i/>
        </w:rPr>
      </w:pPr>
    </w:p>
    <w:p w:rsidR="00775273" w:rsidRDefault="00775273" w:rsidP="00E97ECA">
      <w:pPr>
        <w:rPr>
          <w:i/>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775273">
      <w:pPr>
        <w:ind w:right="-1"/>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Default="000D6B8F" w:rsidP="000D6B8F">
      <w:pPr>
        <w:ind w:right="-1" w:firstLine="0"/>
        <w:rPr>
          <w:bCs/>
          <w:szCs w:val="24"/>
        </w:rPr>
      </w:pPr>
    </w:p>
    <w:p w:rsidR="000D6B8F" w:rsidRPr="000D6B8F" w:rsidRDefault="000D6B8F" w:rsidP="00A01088">
      <w:pPr>
        <w:ind w:right="-1"/>
        <w:jc w:val="left"/>
        <w:rPr>
          <w:bCs/>
          <w:szCs w:val="24"/>
        </w:rPr>
      </w:pPr>
      <w:r w:rsidRPr="000D6B8F">
        <w:rPr>
          <w:bCs/>
          <w:szCs w:val="24"/>
        </w:rPr>
        <w:t>Kalbant apie veikiančius ūkio subjektus pagal pajamų grupes 2013-2015 m.</w:t>
      </w:r>
      <w:r w:rsidR="00A42C55">
        <w:rPr>
          <w:bCs/>
          <w:szCs w:val="24"/>
        </w:rPr>
        <w:t>,</w:t>
      </w:r>
      <w:r w:rsidRPr="000D6B8F">
        <w:rPr>
          <w:bCs/>
          <w:szCs w:val="24"/>
        </w:rPr>
        <w:t xml:space="preserve"> galima daryti išvadas, </w:t>
      </w:r>
      <w:r w:rsidR="00A42C55">
        <w:rPr>
          <w:bCs/>
          <w:szCs w:val="24"/>
        </w:rPr>
        <w:t>kad gerokai</w:t>
      </w:r>
      <w:r w:rsidRPr="000D6B8F">
        <w:rPr>
          <w:bCs/>
          <w:szCs w:val="24"/>
        </w:rPr>
        <w:t xml:space="preserve"> sumažėjo generuojančių pajam</w:t>
      </w:r>
      <w:r w:rsidR="00A42C55">
        <w:rPr>
          <w:bCs/>
          <w:szCs w:val="24"/>
        </w:rPr>
        <w:t>a</w:t>
      </w:r>
      <w:r w:rsidRPr="000D6B8F">
        <w:rPr>
          <w:bCs/>
          <w:szCs w:val="24"/>
        </w:rPr>
        <w:t xml:space="preserve">s nuo 500 000 </w:t>
      </w:r>
      <w:r w:rsidR="00B06BE8">
        <w:rPr>
          <w:bCs/>
          <w:szCs w:val="24"/>
        </w:rPr>
        <w:t>–</w:t>
      </w:r>
      <w:r w:rsidR="00A42C55">
        <w:rPr>
          <w:bCs/>
          <w:szCs w:val="24"/>
        </w:rPr>
        <w:t xml:space="preserve"> </w:t>
      </w:r>
      <w:r w:rsidRPr="000D6B8F">
        <w:rPr>
          <w:bCs/>
          <w:szCs w:val="24"/>
        </w:rPr>
        <w:t>19 999 999 Eur</w:t>
      </w:r>
      <w:r w:rsidR="00A42C55" w:rsidRPr="00A42C55">
        <w:rPr>
          <w:bCs/>
          <w:szCs w:val="24"/>
        </w:rPr>
        <w:t xml:space="preserve"> </w:t>
      </w:r>
      <w:r w:rsidR="00A42C55" w:rsidRPr="000D6B8F">
        <w:rPr>
          <w:bCs/>
          <w:szCs w:val="24"/>
        </w:rPr>
        <w:t>įmonių</w:t>
      </w:r>
      <w:r w:rsidR="00A42C55">
        <w:rPr>
          <w:bCs/>
          <w:szCs w:val="24"/>
        </w:rPr>
        <w:t>,</w:t>
      </w:r>
      <w:r w:rsidRPr="000D6B8F">
        <w:rPr>
          <w:bCs/>
          <w:szCs w:val="24"/>
        </w:rPr>
        <w:t xml:space="preserve"> </w:t>
      </w:r>
      <w:r w:rsidR="00A42C55">
        <w:rPr>
          <w:bCs/>
          <w:szCs w:val="24"/>
        </w:rPr>
        <w:t>o</w:t>
      </w:r>
      <w:r w:rsidRPr="000D6B8F">
        <w:rPr>
          <w:bCs/>
          <w:szCs w:val="24"/>
        </w:rPr>
        <w:t xml:space="preserve"> nuo 20 000 000 </w:t>
      </w:r>
      <w:r w:rsidR="00B06BE8">
        <w:rPr>
          <w:bCs/>
          <w:szCs w:val="24"/>
        </w:rPr>
        <w:t xml:space="preserve">– </w:t>
      </w:r>
      <w:r w:rsidRPr="000D6B8F">
        <w:rPr>
          <w:bCs/>
          <w:szCs w:val="24"/>
        </w:rPr>
        <w:t xml:space="preserve">50 000 000 ir daugiau </w:t>
      </w:r>
      <w:r w:rsidR="00A42C55">
        <w:rPr>
          <w:bCs/>
          <w:szCs w:val="24"/>
        </w:rPr>
        <w:t xml:space="preserve">– </w:t>
      </w:r>
      <w:r w:rsidRPr="000D6B8F">
        <w:rPr>
          <w:bCs/>
          <w:szCs w:val="24"/>
        </w:rPr>
        <w:t>neliko.</w:t>
      </w:r>
    </w:p>
    <w:p w:rsidR="000D6B8F" w:rsidRDefault="00D224DB" w:rsidP="00A01088">
      <w:pPr>
        <w:ind w:right="-1"/>
        <w:jc w:val="left"/>
        <w:rPr>
          <w:bCs/>
          <w:szCs w:val="24"/>
        </w:rPr>
      </w:pPr>
      <w:r w:rsidRPr="000D6B8F">
        <w:rPr>
          <w:bCs/>
          <w:szCs w:val="24"/>
        </w:rPr>
        <w:t>Ū</w:t>
      </w:r>
      <w:r w:rsidR="000D6B8F" w:rsidRPr="000D6B8F">
        <w:rPr>
          <w:bCs/>
          <w:szCs w:val="24"/>
        </w:rPr>
        <w:t>kio subjektų</w:t>
      </w:r>
      <w:r>
        <w:rPr>
          <w:bCs/>
          <w:szCs w:val="24"/>
        </w:rPr>
        <w:t xml:space="preserve">, </w:t>
      </w:r>
      <w:r w:rsidR="000D6B8F" w:rsidRPr="000D6B8F">
        <w:rPr>
          <w:bCs/>
          <w:szCs w:val="24"/>
        </w:rPr>
        <w:t>kurių pajamos siekia nuo 10 000 – 49 999 eurų</w:t>
      </w:r>
      <w:r>
        <w:rPr>
          <w:bCs/>
          <w:szCs w:val="24"/>
        </w:rPr>
        <w:t>,</w:t>
      </w:r>
      <w:r w:rsidR="000D6B8F" w:rsidRPr="000D6B8F">
        <w:rPr>
          <w:bCs/>
          <w:szCs w:val="24"/>
        </w:rPr>
        <w:t xml:space="preserve"> </w:t>
      </w:r>
      <w:r w:rsidRPr="000D6B8F">
        <w:rPr>
          <w:bCs/>
          <w:szCs w:val="24"/>
        </w:rPr>
        <w:t xml:space="preserve">skaičius </w:t>
      </w:r>
      <w:r w:rsidR="000D6B8F" w:rsidRPr="000D6B8F">
        <w:rPr>
          <w:bCs/>
          <w:szCs w:val="24"/>
        </w:rPr>
        <w:t>išaugo nuo 10 iki 43</w:t>
      </w:r>
      <w:r>
        <w:rPr>
          <w:bCs/>
          <w:szCs w:val="24"/>
        </w:rPr>
        <w:t xml:space="preserve">, o </w:t>
      </w:r>
      <w:r w:rsidR="000D6B8F" w:rsidRPr="000D6B8F">
        <w:rPr>
          <w:bCs/>
          <w:szCs w:val="24"/>
        </w:rPr>
        <w:t>subjekt</w:t>
      </w:r>
      <w:r>
        <w:rPr>
          <w:bCs/>
          <w:szCs w:val="24"/>
        </w:rPr>
        <w:t>ų</w:t>
      </w:r>
      <w:r w:rsidR="000D6B8F" w:rsidRPr="000D6B8F">
        <w:rPr>
          <w:bCs/>
          <w:szCs w:val="24"/>
        </w:rPr>
        <w:t xml:space="preserve"> pajamų grupėje nuo 1 000 000 iki 9 999 999 eurų </w:t>
      </w:r>
      <w:r>
        <w:rPr>
          <w:bCs/>
          <w:szCs w:val="24"/>
        </w:rPr>
        <w:t>i</w:t>
      </w:r>
      <w:r w:rsidR="000D6B8F" w:rsidRPr="000D6B8F">
        <w:rPr>
          <w:bCs/>
          <w:szCs w:val="24"/>
        </w:rPr>
        <w:t>šaugo nuo 22 – 37.</w:t>
      </w:r>
    </w:p>
    <w:p w:rsidR="000D6B8F" w:rsidRDefault="000D6B8F" w:rsidP="000D6B8F">
      <w:pPr>
        <w:ind w:right="-1"/>
        <w:rPr>
          <w:bCs/>
          <w:szCs w:val="24"/>
        </w:rPr>
      </w:pPr>
    </w:p>
    <w:p w:rsidR="000D6B8F" w:rsidRDefault="000D6B8F" w:rsidP="000D6B8F">
      <w:pPr>
        <w:ind w:right="-1"/>
        <w:rPr>
          <w:bCs/>
          <w:szCs w:val="24"/>
        </w:rPr>
      </w:pPr>
      <w:r>
        <w:rPr>
          <w:bCs/>
          <w:noProof/>
          <w:szCs w:val="24"/>
          <w:lang w:eastAsia="lt-LT"/>
        </w:rPr>
        <w:drawing>
          <wp:inline distT="0" distB="0" distL="0" distR="0">
            <wp:extent cx="5308324" cy="2731065"/>
            <wp:effectExtent l="19050" t="0" r="6626" b="0"/>
            <wp:docPr id="69"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srcRect/>
                    <a:stretch>
                      <a:fillRect/>
                    </a:stretch>
                  </pic:blipFill>
                  <pic:spPr bwMode="auto">
                    <a:xfrm>
                      <a:off x="0" y="0"/>
                      <a:ext cx="5312028" cy="2732971"/>
                    </a:xfrm>
                    <a:prstGeom prst="rect">
                      <a:avLst/>
                    </a:prstGeom>
                    <a:noFill/>
                    <a:ln w="9525">
                      <a:noFill/>
                      <a:miter lim="800000"/>
                      <a:headEnd/>
                      <a:tailEnd/>
                    </a:ln>
                  </pic:spPr>
                </pic:pic>
              </a:graphicData>
            </a:graphic>
          </wp:inline>
        </w:drawing>
      </w:r>
    </w:p>
    <w:p w:rsidR="000D6B8F" w:rsidRDefault="000D6B8F" w:rsidP="00A01088">
      <w:pPr>
        <w:ind w:right="-1"/>
        <w:jc w:val="left"/>
        <w:rPr>
          <w:szCs w:val="24"/>
        </w:rPr>
      </w:pPr>
      <w:r w:rsidRPr="000D6B8F">
        <w:rPr>
          <w:bCs/>
          <w:szCs w:val="24"/>
        </w:rPr>
        <w:lastRenderedPageBreak/>
        <w:t xml:space="preserve">Atsižvelgiant į </w:t>
      </w:r>
      <w:r w:rsidRPr="000D6B8F">
        <w:rPr>
          <w:szCs w:val="24"/>
        </w:rPr>
        <w:t>statistinius duomenis</w:t>
      </w:r>
      <w:r w:rsidR="00D224DB">
        <w:rPr>
          <w:szCs w:val="24"/>
        </w:rPr>
        <w:t>,</w:t>
      </w:r>
      <w:r w:rsidRPr="000D6B8F">
        <w:rPr>
          <w:szCs w:val="24"/>
        </w:rPr>
        <w:t xml:space="preserve"> Rietavo savivaldybėje didelę dalį sudaro mikro-įmonės, kuriose dirba ne daugiau kaip 10 darbuotojų, dauguma jų įsikūr</w:t>
      </w:r>
      <w:r w:rsidR="00D224DB">
        <w:rPr>
          <w:szCs w:val="24"/>
        </w:rPr>
        <w:t>usios</w:t>
      </w:r>
      <w:r w:rsidRPr="000D6B8F">
        <w:rPr>
          <w:szCs w:val="24"/>
        </w:rPr>
        <w:t xml:space="preserve"> kaimo vietovėse. Lygina</w:t>
      </w:r>
      <w:r w:rsidR="00D224DB">
        <w:rPr>
          <w:szCs w:val="24"/>
        </w:rPr>
        <w:t>nt 2014 m. su 2016 metų pradžia</w:t>
      </w:r>
      <w:r w:rsidRPr="000D6B8F">
        <w:rPr>
          <w:szCs w:val="24"/>
        </w:rPr>
        <w:t xml:space="preserve">, </w:t>
      </w:r>
      <w:r w:rsidR="00D224DB">
        <w:rPr>
          <w:szCs w:val="24"/>
        </w:rPr>
        <w:t>gerokai</w:t>
      </w:r>
      <w:r w:rsidRPr="000D6B8F">
        <w:rPr>
          <w:szCs w:val="24"/>
        </w:rPr>
        <w:t xml:space="preserve"> sumažėjo įmonių</w:t>
      </w:r>
      <w:r w:rsidR="00D224DB">
        <w:rPr>
          <w:szCs w:val="24"/>
        </w:rPr>
        <w:t>,</w:t>
      </w:r>
      <w:r w:rsidRPr="000D6B8F">
        <w:rPr>
          <w:szCs w:val="24"/>
        </w:rPr>
        <w:t xml:space="preserve"> turinčių iki 4 darbuotojų</w:t>
      </w:r>
      <w:r w:rsidR="00D224DB">
        <w:rPr>
          <w:szCs w:val="24"/>
        </w:rPr>
        <w:t>,</w:t>
      </w:r>
      <w:r w:rsidRPr="000D6B8F">
        <w:rPr>
          <w:szCs w:val="24"/>
        </w:rPr>
        <w:t xml:space="preserve"> o įmonių</w:t>
      </w:r>
      <w:r w:rsidR="00D224DB">
        <w:rPr>
          <w:szCs w:val="24"/>
        </w:rPr>
        <w:t>,</w:t>
      </w:r>
      <w:r w:rsidRPr="000D6B8F">
        <w:rPr>
          <w:szCs w:val="24"/>
        </w:rPr>
        <w:t xml:space="preserve"> turinčių nuo 150 iki 249 darbuotojų</w:t>
      </w:r>
      <w:r w:rsidR="00D224DB">
        <w:rPr>
          <w:szCs w:val="24"/>
        </w:rPr>
        <w:t>,</w:t>
      </w:r>
      <w:r w:rsidRPr="000D6B8F">
        <w:rPr>
          <w:szCs w:val="24"/>
        </w:rPr>
        <w:t xml:space="preserve"> neliko, bet padidėjo viena įmone</w:t>
      </w:r>
      <w:r w:rsidR="00D224DB">
        <w:rPr>
          <w:szCs w:val="24"/>
        </w:rPr>
        <w:t>,</w:t>
      </w:r>
      <w:r w:rsidRPr="000D6B8F">
        <w:rPr>
          <w:szCs w:val="24"/>
        </w:rPr>
        <w:t xml:space="preserve"> turinči</w:t>
      </w:r>
      <w:r w:rsidR="00D224DB">
        <w:rPr>
          <w:szCs w:val="24"/>
        </w:rPr>
        <w:t>a</w:t>
      </w:r>
      <w:r w:rsidRPr="000D6B8F">
        <w:rPr>
          <w:szCs w:val="24"/>
        </w:rPr>
        <w:t xml:space="preserve"> nuo 100 – 149 darbuotojų.</w:t>
      </w:r>
    </w:p>
    <w:p w:rsidR="000D6B8F" w:rsidRDefault="000D6B8F" w:rsidP="000D6B8F">
      <w:pPr>
        <w:ind w:right="-1"/>
        <w:rPr>
          <w:szCs w:val="24"/>
        </w:rPr>
      </w:pPr>
      <w:r w:rsidRPr="00145A5C">
        <w:rPr>
          <w:szCs w:val="24"/>
        </w:rPr>
        <w:t xml:space="preserve"> </w:t>
      </w:r>
    </w:p>
    <w:p w:rsidR="000D6B8F" w:rsidRDefault="00825FE9" w:rsidP="00825FE9">
      <w:pPr>
        <w:ind w:right="-1" w:firstLine="0"/>
        <w:rPr>
          <w:bCs/>
          <w:szCs w:val="24"/>
        </w:rPr>
      </w:pPr>
      <w:r>
        <w:rPr>
          <w:bCs/>
          <w:noProof/>
          <w:szCs w:val="24"/>
          <w:lang w:eastAsia="lt-LT"/>
        </w:rPr>
        <w:drawing>
          <wp:inline distT="0" distB="0" distL="0" distR="0">
            <wp:extent cx="6026785" cy="3196590"/>
            <wp:effectExtent l="19050" t="0" r="0" b="0"/>
            <wp:docPr id="73"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srcRect/>
                    <a:stretch>
                      <a:fillRect/>
                    </a:stretch>
                  </pic:blipFill>
                  <pic:spPr bwMode="auto">
                    <a:xfrm>
                      <a:off x="0" y="0"/>
                      <a:ext cx="6026785" cy="3196590"/>
                    </a:xfrm>
                    <a:prstGeom prst="rect">
                      <a:avLst/>
                    </a:prstGeom>
                    <a:noFill/>
                    <a:ln w="9525">
                      <a:noFill/>
                      <a:miter lim="800000"/>
                      <a:headEnd/>
                      <a:tailEnd/>
                    </a:ln>
                  </pic:spPr>
                </pic:pic>
              </a:graphicData>
            </a:graphic>
          </wp:inline>
        </w:drawing>
      </w:r>
    </w:p>
    <w:p w:rsidR="000D6B8F" w:rsidRDefault="000D6B8F" w:rsidP="000D6B8F">
      <w:pPr>
        <w:ind w:right="-1"/>
        <w:rPr>
          <w:bCs/>
          <w:szCs w:val="24"/>
        </w:rPr>
      </w:pPr>
    </w:p>
    <w:p w:rsidR="000D6B8F" w:rsidRDefault="000D6B8F" w:rsidP="000D6B8F">
      <w:pPr>
        <w:ind w:right="-1"/>
        <w:rPr>
          <w:bCs/>
          <w:szCs w:val="24"/>
        </w:rPr>
      </w:pPr>
    </w:p>
    <w:p w:rsidR="000D6B8F" w:rsidRPr="000D6B8F" w:rsidRDefault="000D6B8F" w:rsidP="000D6B8F">
      <w:pPr>
        <w:ind w:right="-1"/>
        <w:rPr>
          <w:bCs/>
          <w:szCs w:val="24"/>
        </w:rPr>
      </w:pPr>
    </w:p>
    <w:p w:rsidR="00C1583F" w:rsidRPr="00565033" w:rsidRDefault="00C1583F" w:rsidP="00C1583F">
      <w:pPr>
        <w:jc w:val="center"/>
        <w:rPr>
          <w:i/>
        </w:rPr>
      </w:pPr>
      <w:r w:rsidRPr="00565033">
        <w:rPr>
          <w:i/>
          <w:noProof/>
          <w:lang w:eastAsia="lt-LT"/>
        </w:rPr>
        <w:drawing>
          <wp:inline distT="0" distB="0" distL="0" distR="0">
            <wp:extent cx="4657725" cy="3295650"/>
            <wp:effectExtent l="0" t="0" r="0" b="0"/>
            <wp:docPr id="35" name="Objektas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1583F" w:rsidRDefault="00C1583F" w:rsidP="00C1583F">
      <w:pPr>
        <w:jc w:val="center"/>
      </w:pPr>
    </w:p>
    <w:p w:rsidR="00C1583F" w:rsidRDefault="00C1583F" w:rsidP="00C1583F">
      <w:pPr>
        <w:jc w:val="center"/>
      </w:pPr>
    </w:p>
    <w:p w:rsidR="00C1583F" w:rsidRDefault="00C1583F" w:rsidP="00A01088">
      <w:pPr>
        <w:jc w:val="left"/>
        <w:rPr>
          <w:szCs w:val="24"/>
        </w:rPr>
      </w:pPr>
      <w:r>
        <w:rPr>
          <w:szCs w:val="24"/>
        </w:rPr>
        <w:t>Gimusių vaikų skaičius</w:t>
      </w:r>
      <w:r w:rsidRPr="00E15AAE">
        <w:rPr>
          <w:szCs w:val="24"/>
        </w:rPr>
        <w:t xml:space="preserve"> </w:t>
      </w:r>
      <w:r>
        <w:rPr>
          <w:szCs w:val="24"/>
        </w:rPr>
        <w:t>2015 m.</w:t>
      </w:r>
      <w:r w:rsidR="00565033">
        <w:rPr>
          <w:szCs w:val="24"/>
        </w:rPr>
        <w:t>,</w:t>
      </w:r>
      <w:r>
        <w:rPr>
          <w:szCs w:val="24"/>
        </w:rPr>
        <w:t xml:space="preserve"> lygin</w:t>
      </w:r>
      <w:r w:rsidR="00565033">
        <w:rPr>
          <w:szCs w:val="24"/>
        </w:rPr>
        <w:t>ant</w:t>
      </w:r>
      <w:r>
        <w:rPr>
          <w:szCs w:val="24"/>
        </w:rPr>
        <w:t xml:space="preserve"> su 2014 m.</w:t>
      </w:r>
      <w:r w:rsidR="00565033">
        <w:rPr>
          <w:szCs w:val="24"/>
        </w:rPr>
        <w:t>,</w:t>
      </w:r>
      <w:r>
        <w:rPr>
          <w:szCs w:val="24"/>
        </w:rPr>
        <w:t xml:space="preserve"> padidėjo. Gimė 11 vaikų daugiau negu 2014 m.,  bet 6 vaikais mažiau negu 2013 m. Mažiausiai vaikų gimė Daugėdų seniūnijoje – 1 vaikas, Medingėnų seniūnijoje – 3 vaikai, daugiausiai, po 27 vaikus gimė Rietavo miesto ir Rietavo kaimiškoje seniūnijoje, Tverų seniūnijoje gimė 11 vaikų. Vaikų, gimusių užsienio </w:t>
      </w:r>
      <w:r>
        <w:rPr>
          <w:szCs w:val="24"/>
        </w:rPr>
        <w:lastRenderedPageBreak/>
        <w:t>valstybėse, skaičius: 2013 m.</w:t>
      </w:r>
      <w:r w:rsidR="007A56F0">
        <w:rPr>
          <w:szCs w:val="24"/>
        </w:rPr>
        <w:t xml:space="preserve"> </w:t>
      </w:r>
      <w:r>
        <w:rPr>
          <w:szCs w:val="24"/>
        </w:rPr>
        <w:t>įtraukta į apskaitą 19-os užsienio valstybėse gimusių kūdikių gimimas, 2014 m.</w:t>
      </w:r>
      <w:r w:rsidR="00565033">
        <w:rPr>
          <w:szCs w:val="24"/>
        </w:rPr>
        <w:t xml:space="preserve"> </w:t>
      </w:r>
      <w:r>
        <w:rPr>
          <w:szCs w:val="24"/>
        </w:rPr>
        <w:t xml:space="preserve">– 25 ir  2015 m. – 24. Tai sudaro net 25,80 </w:t>
      </w:r>
      <w:r w:rsidR="00565033">
        <w:rPr>
          <w:szCs w:val="24"/>
        </w:rPr>
        <w:t>proc.</w:t>
      </w:r>
      <w:r w:rsidRPr="005F744F">
        <w:rPr>
          <w:szCs w:val="24"/>
        </w:rPr>
        <w:t xml:space="preserve"> vis</w:t>
      </w:r>
      <w:r>
        <w:rPr>
          <w:szCs w:val="24"/>
        </w:rPr>
        <w:t xml:space="preserve">ų gimusių vaikų.  Pagal vaikų, gimusių užsienyje, gimimo vietą galima daryti išvadą, kad jauni mūsų Savivaldybės žmonės daugiausia gyvena ir dirba Jungtinėje Karalystėje (gimė 10 vaikų), Norvegijoje – 4 vaikai, Švedijoje – 2, Rusijoje </w:t>
      </w:r>
      <w:r w:rsidR="00565033">
        <w:rPr>
          <w:szCs w:val="24"/>
        </w:rPr>
        <w:t>–</w:t>
      </w:r>
      <w:r>
        <w:rPr>
          <w:szCs w:val="24"/>
        </w:rPr>
        <w:t xml:space="preserve"> 2 vaikai, Italijoje </w:t>
      </w:r>
      <w:r w:rsidR="00565033">
        <w:rPr>
          <w:szCs w:val="24"/>
        </w:rPr>
        <w:t xml:space="preserve">– </w:t>
      </w:r>
      <w:r>
        <w:rPr>
          <w:szCs w:val="24"/>
        </w:rPr>
        <w:t xml:space="preserve">2 vaikai, Indonezijoje – 2 vaikai, Danijoje </w:t>
      </w:r>
      <w:r w:rsidR="00565033">
        <w:rPr>
          <w:szCs w:val="24"/>
        </w:rPr>
        <w:t>–</w:t>
      </w:r>
      <w:r>
        <w:rPr>
          <w:szCs w:val="24"/>
        </w:rPr>
        <w:t xml:space="preserve"> 1 vaikas. 2015 m. natūralus prieaugis (skirtumas tarp gyvų gimusiųjų ir mirusiųjų skaičiaus)  išliko neigiamas – minus 24, 2013 m. – minus 44, 2013 m. </w:t>
      </w:r>
      <w:r w:rsidR="00565033">
        <w:rPr>
          <w:szCs w:val="24"/>
        </w:rPr>
        <w:t>–</w:t>
      </w:r>
      <w:r>
        <w:rPr>
          <w:szCs w:val="24"/>
        </w:rPr>
        <w:t xml:space="preserve">  minus 10.</w:t>
      </w:r>
    </w:p>
    <w:p w:rsidR="00C1583F" w:rsidRPr="00E15AAE" w:rsidRDefault="00C1583F" w:rsidP="00C1583F">
      <w:pPr>
        <w:rPr>
          <w:szCs w:val="24"/>
        </w:rPr>
      </w:pPr>
    </w:p>
    <w:p w:rsidR="00C1583F" w:rsidRPr="009269AE" w:rsidRDefault="00C1583F" w:rsidP="00C1583F">
      <w:pPr>
        <w:jc w:val="center"/>
      </w:pPr>
      <w:r>
        <w:rPr>
          <w:noProof/>
          <w:lang w:eastAsia="lt-LT"/>
        </w:rPr>
        <w:drawing>
          <wp:inline distT="0" distB="0" distL="0" distR="0">
            <wp:extent cx="5114925" cy="2419350"/>
            <wp:effectExtent l="0" t="0" r="0" b="0"/>
            <wp:docPr id="34" name="Objektas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1583F" w:rsidRDefault="00C1583F" w:rsidP="00C1583F">
      <w:pPr>
        <w:rPr>
          <w:szCs w:val="24"/>
        </w:rPr>
      </w:pPr>
    </w:p>
    <w:p w:rsidR="00C1583F" w:rsidRPr="00431607" w:rsidRDefault="00C1583F" w:rsidP="00A01088">
      <w:pPr>
        <w:jc w:val="left"/>
        <w:rPr>
          <w:szCs w:val="24"/>
        </w:rPr>
      </w:pPr>
      <w:r w:rsidRPr="00431607">
        <w:rPr>
          <w:szCs w:val="24"/>
        </w:rPr>
        <w:t>Tėvystės pripažinimo</w:t>
      </w:r>
      <w:r>
        <w:rPr>
          <w:szCs w:val="24"/>
        </w:rPr>
        <w:t xml:space="preserve"> atvejų, lyginant su 2014 m., padaugėjo. Iš 93 gimusių vaikų 40 vaikų gimė nesusituokusiems tėvams. Tai sudaro 43 proc. 2015 m. gimusių vaikų. Duomenys apie tėvą nenurodyti 5 vaikų gimimo įrašuose, o tai sudaro  5,4 proc.  visų 2015 m. gimusių vaikų skaičiaus.</w:t>
      </w:r>
    </w:p>
    <w:p w:rsidR="00C1583F" w:rsidRDefault="00C1583F" w:rsidP="00C1583F">
      <w:pPr>
        <w:jc w:val="center"/>
      </w:pPr>
      <w:r>
        <w:rPr>
          <w:noProof/>
          <w:lang w:eastAsia="lt-LT"/>
        </w:rPr>
        <w:drawing>
          <wp:inline distT="0" distB="0" distL="0" distR="0">
            <wp:extent cx="3581400" cy="2952750"/>
            <wp:effectExtent l="0" t="0" r="0" b="0"/>
            <wp:docPr id="33" name="Objektas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1583F" w:rsidRDefault="00C1583F" w:rsidP="00A01088">
      <w:pPr>
        <w:jc w:val="left"/>
        <w:rPr>
          <w:szCs w:val="24"/>
        </w:rPr>
      </w:pPr>
      <w:r>
        <w:rPr>
          <w:szCs w:val="24"/>
        </w:rPr>
        <w:t xml:space="preserve">   Įregistruota 1  santuoka daugiau negu 2014 m.  Nei 2014 m., nei 2015 m. nebuvo įregistruota nė vienos nepilnamečių poros santuoka. 2014 m. susituokusių vyrų amžiaus vidurkis – 31,7 m. moterų </w:t>
      </w:r>
      <w:r w:rsidR="00565033">
        <w:rPr>
          <w:szCs w:val="24"/>
        </w:rPr>
        <w:t xml:space="preserve">– </w:t>
      </w:r>
      <w:r>
        <w:rPr>
          <w:szCs w:val="24"/>
        </w:rPr>
        <w:t xml:space="preserve">28,7 m. Jauniausia pagal amžių jaunoji – 18 m., jauniausias jaunasis </w:t>
      </w:r>
      <w:r w:rsidR="00565033">
        <w:rPr>
          <w:szCs w:val="24"/>
        </w:rPr>
        <w:t xml:space="preserve">– </w:t>
      </w:r>
      <w:r>
        <w:rPr>
          <w:szCs w:val="24"/>
        </w:rPr>
        <w:t xml:space="preserve">20 m., vyriausia pagal amžių jaunoji – 65 m., vyriausias pagal amžių jaunasis – 73 m. </w:t>
      </w:r>
      <w:r w:rsidR="00565033">
        <w:rPr>
          <w:szCs w:val="24"/>
        </w:rPr>
        <w:t>P</w:t>
      </w:r>
      <w:r>
        <w:rPr>
          <w:szCs w:val="24"/>
        </w:rPr>
        <w:t>irmą kartą tuokėsi 41 vyrai ir 45 moterys, antra santuoka įregistruota 13 vyrų  ir 9 moterims, trečia – 1 vyras ir 1 moteris.</w:t>
      </w:r>
    </w:p>
    <w:p w:rsidR="00C1583F" w:rsidRPr="00F203A5" w:rsidRDefault="00C1583F" w:rsidP="00A01088">
      <w:pPr>
        <w:jc w:val="left"/>
        <w:rPr>
          <w:szCs w:val="24"/>
        </w:rPr>
      </w:pPr>
    </w:p>
    <w:p w:rsidR="00C1583F" w:rsidRDefault="00C1583F" w:rsidP="00C1583F">
      <w:pPr>
        <w:jc w:val="center"/>
      </w:pPr>
      <w:r>
        <w:rPr>
          <w:noProof/>
          <w:lang w:eastAsia="lt-LT"/>
        </w:rPr>
        <w:lastRenderedPageBreak/>
        <w:drawing>
          <wp:inline distT="0" distB="0" distL="0" distR="0">
            <wp:extent cx="5829300" cy="4905375"/>
            <wp:effectExtent l="0" t="0" r="0" b="0"/>
            <wp:docPr id="32" name="Objektas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C1583F" w:rsidRDefault="00C1583F" w:rsidP="00A01088">
      <w:pPr>
        <w:ind w:firstLine="0"/>
        <w:jc w:val="left"/>
        <w:rPr>
          <w:szCs w:val="24"/>
        </w:rPr>
      </w:pPr>
      <w:r>
        <w:rPr>
          <w:szCs w:val="24"/>
        </w:rPr>
        <w:t xml:space="preserve">           Gyventojų mirtingumas 2015 m. mažesnis ne</w:t>
      </w:r>
      <w:r w:rsidR="00565033">
        <w:rPr>
          <w:szCs w:val="24"/>
        </w:rPr>
        <w:t>gu</w:t>
      </w:r>
      <w:r>
        <w:rPr>
          <w:szCs w:val="24"/>
        </w:rPr>
        <w:t xml:space="preserve"> 2014 m</w:t>
      </w:r>
      <w:r w:rsidRPr="00F203A5">
        <w:rPr>
          <w:szCs w:val="24"/>
        </w:rPr>
        <w:t>.</w:t>
      </w:r>
      <w:r>
        <w:rPr>
          <w:szCs w:val="24"/>
        </w:rPr>
        <w:t xml:space="preserve"> D</w:t>
      </w:r>
      <w:r w:rsidR="007A56F0">
        <w:rPr>
          <w:szCs w:val="24"/>
        </w:rPr>
        <w:t>a</w:t>
      </w:r>
      <w:r>
        <w:rPr>
          <w:szCs w:val="24"/>
        </w:rPr>
        <w:t xml:space="preserve">ugėdų seniūnijoje mirčių neįregistruota, Medingėnų seniūnijoje mirė 5 žmonės, Tverų seniūnijoje – 14, Rietavo mieste – 53, Rietavo kaimiškoje seniūnijoje – 44. </w:t>
      </w:r>
    </w:p>
    <w:p w:rsidR="00C1583F" w:rsidRDefault="00C1583F" w:rsidP="00C1583F">
      <w:pPr>
        <w:ind w:firstLine="1296"/>
      </w:pPr>
      <w:r>
        <w:rPr>
          <w:noProof/>
          <w:lang w:eastAsia="lt-LT"/>
        </w:rPr>
        <w:drawing>
          <wp:inline distT="0" distB="0" distL="0" distR="0">
            <wp:extent cx="3790950" cy="2743200"/>
            <wp:effectExtent l="0" t="0" r="0" b="0"/>
            <wp:docPr id="31" name="Objektas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1583F" w:rsidRPr="000D545E" w:rsidRDefault="00C1583F" w:rsidP="00A01088">
      <w:pPr>
        <w:jc w:val="left"/>
        <w:rPr>
          <w:b/>
          <w:szCs w:val="24"/>
        </w:rPr>
      </w:pPr>
      <w:r>
        <w:rPr>
          <w:szCs w:val="24"/>
        </w:rPr>
        <w:t>2015 m. vėl padidėjo skirtumas tarp vyrų ir moterų vidutinės tikėtinos gyvenimo trukmės</w:t>
      </w:r>
      <w:r w:rsidR="00565033">
        <w:rPr>
          <w:szCs w:val="24"/>
        </w:rPr>
        <w:t xml:space="preserve"> –</w:t>
      </w:r>
      <w:r>
        <w:rPr>
          <w:szCs w:val="24"/>
        </w:rPr>
        <w:t xml:space="preserve"> vyrų gyvenimo trukmė buvo net 13,1 m. trumpesnė ne</w:t>
      </w:r>
      <w:r w:rsidR="00565033">
        <w:rPr>
          <w:szCs w:val="24"/>
        </w:rPr>
        <w:t>gu</w:t>
      </w:r>
      <w:r>
        <w:rPr>
          <w:szCs w:val="24"/>
        </w:rPr>
        <w:t xml:space="preserve"> moterų </w:t>
      </w:r>
      <w:r w:rsidR="00565033">
        <w:rPr>
          <w:szCs w:val="24"/>
        </w:rPr>
        <w:t>(</w:t>
      </w:r>
      <w:r>
        <w:rPr>
          <w:szCs w:val="24"/>
        </w:rPr>
        <w:t>pvz.</w:t>
      </w:r>
      <w:r w:rsidR="00565033">
        <w:rPr>
          <w:szCs w:val="24"/>
        </w:rPr>
        <w:t>,</w:t>
      </w:r>
      <w:r>
        <w:rPr>
          <w:szCs w:val="24"/>
        </w:rPr>
        <w:t xml:space="preserve"> 2014 m.  vyrų gyvenimo trukmė buvo 9,9 m. trumpesnė negu moterų, 2013 m.</w:t>
      </w:r>
      <w:r w:rsidRPr="00FB6852">
        <w:rPr>
          <w:szCs w:val="24"/>
        </w:rPr>
        <w:t xml:space="preserve"> </w:t>
      </w:r>
      <w:r>
        <w:rPr>
          <w:szCs w:val="24"/>
        </w:rPr>
        <w:t>vyrų gyvenimo trukmė buvo 7,2 m</w:t>
      </w:r>
      <w:r w:rsidR="00565033">
        <w:rPr>
          <w:szCs w:val="24"/>
        </w:rPr>
        <w:t>.</w:t>
      </w:r>
      <w:r>
        <w:rPr>
          <w:szCs w:val="24"/>
        </w:rPr>
        <w:t xml:space="preserve">  trumpesnė negu moterų.</w:t>
      </w:r>
    </w:p>
    <w:p w:rsidR="00C1583F" w:rsidRDefault="00C1583F" w:rsidP="00C1583F">
      <w:pPr>
        <w:jc w:val="center"/>
      </w:pPr>
      <w:r>
        <w:rPr>
          <w:noProof/>
          <w:szCs w:val="24"/>
          <w:lang w:eastAsia="lt-LT"/>
        </w:rPr>
        <w:lastRenderedPageBreak/>
        <w:drawing>
          <wp:inline distT="0" distB="0" distL="0" distR="0">
            <wp:extent cx="3790950" cy="2743200"/>
            <wp:effectExtent l="0" t="0" r="0" b="0"/>
            <wp:docPr id="15" name="Objektas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1583F" w:rsidRPr="000D545E" w:rsidRDefault="00C1583F" w:rsidP="00C1583F">
      <w:pPr>
        <w:jc w:val="center"/>
      </w:pPr>
    </w:p>
    <w:p w:rsidR="00C1583F" w:rsidRDefault="00C1583F" w:rsidP="00A01088">
      <w:pPr>
        <w:ind w:firstLine="0"/>
        <w:jc w:val="left"/>
        <w:rPr>
          <w:szCs w:val="24"/>
        </w:rPr>
      </w:pPr>
      <w:r>
        <w:rPr>
          <w:szCs w:val="24"/>
        </w:rPr>
        <w:t xml:space="preserve">             Mirties priežasčių struktūra jau daugelį metų nekinta. Kaip ir ankstesniais metais, 2015 m.  daugiausiai </w:t>
      </w:r>
      <w:r w:rsidRPr="002614F2">
        <w:rPr>
          <w:szCs w:val="24"/>
        </w:rPr>
        <w:t>(</w:t>
      </w:r>
      <w:r>
        <w:rPr>
          <w:szCs w:val="24"/>
        </w:rPr>
        <w:t>61,5</w:t>
      </w:r>
      <w:r w:rsidRPr="002614F2">
        <w:rPr>
          <w:szCs w:val="24"/>
        </w:rPr>
        <w:t xml:space="preserve"> proc.)</w:t>
      </w:r>
      <w:r>
        <w:rPr>
          <w:szCs w:val="24"/>
        </w:rPr>
        <w:t xml:space="preserve"> </w:t>
      </w:r>
      <w:r w:rsidRPr="000544F3">
        <w:rPr>
          <w:szCs w:val="24"/>
        </w:rPr>
        <w:t>mirė nuo kraujotakos sistemos</w:t>
      </w:r>
      <w:r>
        <w:rPr>
          <w:szCs w:val="24"/>
        </w:rPr>
        <w:t>, širdies</w:t>
      </w:r>
      <w:r w:rsidRPr="000544F3">
        <w:rPr>
          <w:szCs w:val="24"/>
        </w:rPr>
        <w:t xml:space="preserve"> ligų</w:t>
      </w:r>
      <w:r>
        <w:rPr>
          <w:szCs w:val="24"/>
        </w:rPr>
        <w:t xml:space="preserve">,  2014 m. </w:t>
      </w:r>
      <w:r w:rsidR="00565033">
        <w:rPr>
          <w:szCs w:val="24"/>
        </w:rPr>
        <w:t>–</w:t>
      </w:r>
      <w:r>
        <w:rPr>
          <w:szCs w:val="24"/>
        </w:rPr>
        <w:t xml:space="preserve"> 53 proc. visų mirusiųjų. 16,3 proc. mirusiųjų mirties priežastis – vėžiniai susirgimai, </w:t>
      </w:r>
      <w:r w:rsidRPr="000544F3">
        <w:rPr>
          <w:szCs w:val="24"/>
        </w:rPr>
        <w:t xml:space="preserve"> </w:t>
      </w:r>
      <w:r>
        <w:rPr>
          <w:szCs w:val="24"/>
        </w:rPr>
        <w:t>13,7 proc. mirė dėl kitų ligų (plaučių, kepenų ir kt.)</w:t>
      </w:r>
      <w:r w:rsidR="00565033">
        <w:rPr>
          <w:szCs w:val="24"/>
        </w:rPr>
        <w:t>,</w:t>
      </w:r>
      <w:r>
        <w:rPr>
          <w:szCs w:val="24"/>
        </w:rPr>
        <w:t xml:space="preserve">  3,4 proc. mirė </w:t>
      </w:r>
      <w:r w:rsidRPr="000544F3">
        <w:rPr>
          <w:szCs w:val="24"/>
        </w:rPr>
        <w:t>dėl išorinių mirties priežasčių (apsinuodijimo,</w:t>
      </w:r>
      <w:r>
        <w:rPr>
          <w:szCs w:val="24"/>
        </w:rPr>
        <w:t xml:space="preserve"> traumų, nelaimingų atsitikimų).</w:t>
      </w:r>
    </w:p>
    <w:p w:rsidR="00C1583F" w:rsidRPr="00957C4C" w:rsidRDefault="00C1583F" w:rsidP="00A01088">
      <w:pPr>
        <w:ind w:firstLine="0"/>
        <w:jc w:val="left"/>
        <w:rPr>
          <w:szCs w:val="24"/>
        </w:rPr>
      </w:pPr>
      <w:r>
        <w:rPr>
          <w:szCs w:val="24"/>
        </w:rPr>
        <w:t xml:space="preserve">             Savo noru, kaip ir pernai, iš gyvenimo pasitraukė 6 žmonės. 2015 m. savižudžiai sudarė  5,1 proc. visų mirusiųjų.</w:t>
      </w:r>
    </w:p>
    <w:p w:rsidR="00E97ECA" w:rsidRPr="00630125" w:rsidRDefault="00E97ECA" w:rsidP="00A01088">
      <w:pPr>
        <w:jc w:val="left"/>
        <w:rPr>
          <w:i/>
        </w:rPr>
      </w:pPr>
    </w:p>
    <w:p w:rsidR="00E97ECA" w:rsidRPr="0034462A" w:rsidRDefault="00E97ECA" w:rsidP="00A01088">
      <w:pPr>
        <w:jc w:val="center"/>
        <w:rPr>
          <w:b/>
          <w:szCs w:val="24"/>
        </w:rPr>
      </w:pPr>
      <w:r w:rsidRPr="0034462A">
        <w:rPr>
          <w:b/>
          <w:szCs w:val="24"/>
        </w:rPr>
        <w:t>BIUDŽETAS</w:t>
      </w:r>
    </w:p>
    <w:p w:rsidR="00E97ECA" w:rsidRPr="0034462A" w:rsidRDefault="00E97ECA" w:rsidP="00A01088">
      <w:pPr>
        <w:jc w:val="center"/>
      </w:pPr>
    </w:p>
    <w:p w:rsidR="00E97ECA" w:rsidRPr="0034462A" w:rsidRDefault="00E97ECA" w:rsidP="00A01088">
      <w:pPr>
        <w:jc w:val="center"/>
        <w:rPr>
          <w:b/>
        </w:rPr>
      </w:pPr>
      <w:r w:rsidRPr="0034462A">
        <w:rPr>
          <w:b/>
        </w:rPr>
        <w:t>BIUDŽETO PAJAMOS</w:t>
      </w:r>
    </w:p>
    <w:p w:rsidR="00E97ECA" w:rsidRPr="00630125" w:rsidRDefault="00E97ECA" w:rsidP="00A01088">
      <w:pPr>
        <w:jc w:val="left"/>
        <w:rPr>
          <w:i/>
        </w:rPr>
      </w:pPr>
    </w:p>
    <w:p w:rsidR="0034462A" w:rsidRDefault="0034462A" w:rsidP="00A01088">
      <w:pPr>
        <w:jc w:val="left"/>
      </w:pPr>
      <w:r w:rsidRPr="00571534">
        <w:t xml:space="preserve">Rietavo savivaldybės tarybos 2015 m. vasario 12 d. sprendimu Nr. T1-23 sudarytas ir patvirtintas Rietavo savivaldybės 2015 metų biudžetas – 7 997,9 tūkst. Eur (likučiai </w:t>
      </w:r>
      <w:r>
        <w:t>m. pr. –</w:t>
      </w:r>
      <w:r w:rsidRPr="00571534">
        <w:t>213,3 tūkst. Eur, skolintos lėšos – 127,3 tūkst. Eur</w:t>
      </w:r>
      <w:r>
        <w:t>)</w:t>
      </w:r>
      <w:r w:rsidRPr="00571534">
        <w:t xml:space="preserve">. </w:t>
      </w:r>
      <w:r>
        <w:t>Patikslintas biudžetas 2015 m. gruodžio 17 d. – 9894,9 tūkst. Eur (likučiai m. pr. – 213,3 tūkst. Eur, skolintos lėšos – 1077,3 tūkst. Eur).</w:t>
      </w:r>
    </w:p>
    <w:p w:rsidR="00E97ECA" w:rsidRPr="00630125" w:rsidRDefault="00E97ECA" w:rsidP="00A01088">
      <w:pPr>
        <w:jc w:val="left"/>
        <w:rPr>
          <w:i/>
        </w:rPr>
      </w:pPr>
    </w:p>
    <w:p w:rsidR="00E97ECA" w:rsidRPr="00630125" w:rsidRDefault="0034462A" w:rsidP="0034462A">
      <w:pPr>
        <w:ind w:firstLine="0"/>
        <w:jc w:val="center"/>
        <w:rPr>
          <w:i/>
        </w:rPr>
      </w:pPr>
      <w:r>
        <w:rPr>
          <w:noProof/>
          <w:lang w:eastAsia="lt-LT"/>
        </w:rPr>
        <w:lastRenderedPageBreak/>
        <w:drawing>
          <wp:inline distT="0" distB="0" distL="0" distR="0">
            <wp:extent cx="5787694" cy="3927944"/>
            <wp:effectExtent l="57150" t="0" r="60656" b="72556"/>
            <wp:docPr id="28"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97ECA" w:rsidRPr="00630125" w:rsidRDefault="00E97ECA" w:rsidP="00E97ECA">
      <w:pPr>
        <w:rPr>
          <w:i/>
        </w:rPr>
      </w:pPr>
      <w:r w:rsidRPr="00630125">
        <w:rPr>
          <w:i/>
        </w:rPr>
        <w:t xml:space="preserve">                                                            </w:t>
      </w:r>
      <w:r w:rsidR="00C93CFA" w:rsidRPr="00C93CFA">
        <w:rPr>
          <w:b/>
          <w:i/>
          <w:noProof/>
        </w:rPr>
        <w:pict>
          <v:rect id="_x0000_s1066" style="position:absolute;left:0;text-align:left;margin-left:1.1pt;margin-top:742.6pt;width:483.9pt;height:286.5pt;z-index:251660288;mso-position-horizontal-relative:text;mso-position-vertical-relative:text" filled="f" strokeweight="1pt"/>
        </w:pict>
      </w:r>
    </w:p>
    <w:p w:rsidR="0034462A" w:rsidRPr="00571534" w:rsidRDefault="0034462A" w:rsidP="00A01088">
      <w:pPr>
        <w:jc w:val="left"/>
      </w:pPr>
      <w:r w:rsidRPr="00571534">
        <w:t xml:space="preserve">Diagramoje </w:t>
      </w:r>
      <w:r>
        <w:t xml:space="preserve">„Rietavo savivaldybės 2013 m. - 2015 m. biudžeto pajamų įvykdymas“ </w:t>
      </w:r>
      <w:r w:rsidRPr="00571534">
        <w:t xml:space="preserve">gautos pajamos pateiktos be likučių metų pradžioje ir skolintų lėšų. Lyginant 2015 metų pajamas su 2014 metais, </w:t>
      </w:r>
      <w:r w:rsidR="00565033">
        <w:t xml:space="preserve">jos </w:t>
      </w:r>
      <w:r w:rsidRPr="00571534">
        <w:t>didėjo 2</w:t>
      </w:r>
      <w:r>
        <w:t xml:space="preserve"> </w:t>
      </w:r>
      <w:r w:rsidRPr="00571534">
        <w:t>430,5 tūkst. Eur (40,4 proc.). Didžiausią įtaką pajamų didėjimui turėjo:</w:t>
      </w:r>
    </w:p>
    <w:p w:rsidR="0034462A" w:rsidRPr="00571534" w:rsidRDefault="0034462A" w:rsidP="00A01088">
      <w:pPr>
        <w:numPr>
          <w:ilvl w:val="0"/>
          <w:numId w:val="9"/>
        </w:numPr>
        <w:tabs>
          <w:tab w:val="left" w:pos="1701"/>
        </w:tabs>
        <w:ind w:left="0" w:firstLine="1296"/>
        <w:jc w:val="left"/>
      </w:pPr>
      <w:r w:rsidRPr="00571534">
        <w:t xml:space="preserve"> 2015 m. buvo vykdomi projektai (VIP </w:t>
      </w:r>
      <w:r w:rsidR="00565033">
        <w:t>–</w:t>
      </w:r>
      <w:r w:rsidRPr="00571534">
        <w:t xml:space="preserve"> Valstybės investiciniai projektai) ir kelių lėšos apskaitomos Iždo sąskaitoje  – 2 140,3 tūkst. Eur (kasinės išlaidos), iš jų:</w:t>
      </w:r>
    </w:p>
    <w:p w:rsidR="0034462A" w:rsidRPr="00571534" w:rsidRDefault="00565033" w:rsidP="00A01088">
      <w:pPr>
        <w:numPr>
          <w:ilvl w:val="1"/>
          <w:numId w:val="9"/>
        </w:numPr>
        <w:tabs>
          <w:tab w:val="left" w:pos="1843"/>
        </w:tabs>
        <w:jc w:val="left"/>
      </w:pPr>
      <w:r>
        <w:t xml:space="preserve"> </w:t>
      </w:r>
      <w:r w:rsidR="0034462A" w:rsidRPr="00571534">
        <w:t>Rietavo miesto katilinės statyba – 1 157,9 tūkst. Eur;</w:t>
      </w:r>
    </w:p>
    <w:p w:rsidR="0034462A" w:rsidRPr="00571534" w:rsidRDefault="0034462A" w:rsidP="00A01088">
      <w:pPr>
        <w:tabs>
          <w:tab w:val="left" w:pos="1560"/>
        </w:tabs>
        <w:ind w:firstLine="1296"/>
        <w:jc w:val="left"/>
      </w:pPr>
      <w:r w:rsidRPr="00571534">
        <w:t xml:space="preserve">1.2.  Rietavo Lauryno Ivinskio gimnazijos pastato Rietave, </w:t>
      </w:r>
      <w:r w:rsidR="00565033" w:rsidRPr="00571534">
        <w:t>D</w:t>
      </w:r>
      <w:r w:rsidRPr="00571534">
        <w:t>aržų g. 1, sporto salės priestato statyba – 490,0 tūkst. Eur;</w:t>
      </w:r>
    </w:p>
    <w:p w:rsidR="0034462A" w:rsidRPr="00571534" w:rsidRDefault="0034462A" w:rsidP="00A01088">
      <w:pPr>
        <w:numPr>
          <w:ilvl w:val="1"/>
          <w:numId w:val="10"/>
        </w:numPr>
        <w:tabs>
          <w:tab w:val="left" w:pos="0"/>
          <w:tab w:val="left" w:pos="1843"/>
          <w:tab w:val="left" w:pos="2977"/>
        </w:tabs>
        <w:ind w:left="0" w:firstLine="1296"/>
        <w:jc w:val="left"/>
      </w:pPr>
      <w:r w:rsidRPr="00571534">
        <w:t>Pėsčiųjų ir dviračių takui Rietavo miesto Plungės gatvėje, kuri sutampa su krašto keliu Nr. 164 Mažeikiai-Plungė-Tauragė, tęsti – 150,3 tūkst. Eur;</w:t>
      </w:r>
    </w:p>
    <w:p w:rsidR="0034462A" w:rsidRPr="00571534" w:rsidRDefault="0034462A" w:rsidP="00A01088">
      <w:pPr>
        <w:numPr>
          <w:ilvl w:val="1"/>
          <w:numId w:val="10"/>
        </w:numPr>
        <w:tabs>
          <w:tab w:val="left" w:pos="0"/>
          <w:tab w:val="left" w:pos="1843"/>
        </w:tabs>
        <w:ind w:left="0" w:firstLine="1296"/>
        <w:jc w:val="left"/>
      </w:pPr>
      <w:r w:rsidRPr="00571534">
        <w:rPr>
          <w:color w:val="333333"/>
        </w:rPr>
        <w:t>Rietavo miesto vietinės reikšmės keliui Nr. RT0223 Drobstų pramoninėje zonoje rekonstruoti – 50,0 tūkst. Eur;</w:t>
      </w:r>
    </w:p>
    <w:p w:rsidR="0034462A" w:rsidRPr="00571534" w:rsidRDefault="0034462A" w:rsidP="00A01088">
      <w:pPr>
        <w:numPr>
          <w:ilvl w:val="1"/>
          <w:numId w:val="10"/>
        </w:numPr>
        <w:tabs>
          <w:tab w:val="left" w:pos="0"/>
          <w:tab w:val="left" w:pos="1843"/>
          <w:tab w:val="left" w:pos="2977"/>
        </w:tabs>
        <w:ind w:left="0" w:firstLine="1296"/>
        <w:jc w:val="left"/>
      </w:pPr>
      <w:r w:rsidRPr="00571534">
        <w:rPr>
          <w:color w:val="333333"/>
        </w:rPr>
        <w:t>Pėsčiųjų ir dviračių takui Rietavo Oginskių kultūros istorijos muziejaus valdomo Rietavo dvaro teritorijoje įrengti – 100,0 tūkst. Eur;</w:t>
      </w:r>
    </w:p>
    <w:p w:rsidR="0034462A" w:rsidRPr="00571534" w:rsidRDefault="0034462A" w:rsidP="00A01088">
      <w:pPr>
        <w:numPr>
          <w:ilvl w:val="1"/>
          <w:numId w:val="10"/>
        </w:numPr>
        <w:tabs>
          <w:tab w:val="left" w:pos="0"/>
          <w:tab w:val="left" w:pos="1843"/>
        </w:tabs>
        <w:ind w:left="0" w:firstLine="1296"/>
        <w:jc w:val="left"/>
      </w:pPr>
      <w:r w:rsidRPr="00571534">
        <w:t>Vietinės reikšmės keliams (gatvėms) tiesti, taisyti, prižiūrėti ir saugaus eismo sąlygoms gerinti – 342,4 tūkst. Eur.</w:t>
      </w:r>
    </w:p>
    <w:p w:rsidR="0034462A" w:rsidRPr="00571534" w:rsidRDefault="0034462A" w:rsidP="00A01088">
      <w:pPr>
        <w:tabs>
          <w:tab w:val="left" w:pos="0"/>
          <w:tab w:val="left" w:pos="1843"/>
        </w:tabs>
        <w:ind w:firstLine="851"/>
        <w:jc w:val="left"/>
      </w:pPr>
      <w:r>
        <w:t xml:space="preserve">      2. </w:t>
      </w:r>
      <w:r w:rsidRPr="00571534">
        <w:t>Dotacijos darbo užmokesčiui ir socialinio draudimo išmokoms – 47,3 tūkst. Eur, iš jų:</w:t>
      </w:r>
    </w:p>
    <w:p w:rsidR="0034462A" w:rsidRPr="00571534" w:rsidRDefault="0034462A" w:rsidP="00A01088">
      <w:pPr>
        <w:tabs>
          <w:tab w:val="left" w:pos="0"/>
          <w:tab w:val="left" w:pos="1843"/>
        </w:tabs>
        <w:jc w:val="left"/>
      </w:pPr>
      <w:r>
        <w:t xml:space="preserve">        </w:t>
      </w:r>
      <w:r w:rsidRPr="00571534">
        <w:t>2.1. pedagoginių darbuotojų skaičiaus optimizavimui – 15,6 tūkst. Eur;</w:t>
      </w:r>
    </w:p>
    <w:p w:rsidR="0034462A" w:rsidRPr="00571534" w:rsidRDefault="0034462A" w:rsidP="00A01088">
      <w:pPr>
        <w:tabs>
          <w:tab w:val="left" w:pos="0"/>
          <w:tab w:val="left" w:pos="1843"/>
        </w:tabs>
        <w:jc w:val="left"/>
      </w:pPr>
      <w:r>
        <w:t xml:space="preserve">        </w:t>
      </w:r>
      <w:r w:rsidRPr="00571534">
        <w:t>2.2. kultūros darbuotojų darbo užmokesčiui didinti – 7,9 tūkst. Eur;</w:t>
      </w:r>
    </w:p>
    <w:p w:rsidR="0034462A" w:rsidRDefault="0034462A" w:rsidP="00A01088">
      <w:pPr>
        <w:tabs>
          <w:tab w:val="left" w:pos="0"/>
          <w:tab w:val="left" w:pos="1843"/>
        </w:tabs>
        <w:jc w:val="left"/>
      </w:pPr>
      <w:r>
        <w:t xml:space="preserve">        </w:t>
      </w:r>
      <w:r w:rsidRPr="00571534">
        <w:t xml:space="preserve">2.3. minimaliai mėnesio algai didinti (iki 325,0 </w:t>
      </w:r>
      <w:r w:rsidR="00565033">
        <w:t xml:space="preserve">Eur </w:t>
      </w:r>
      <w:r w:rsidRPr="00571534">
        <w:t>nuo 2015-07-01) – 23,7 tūkst. Eur.</w:t>
      </w:r>
    </w:p>
    <w:p w:rsidR="0034462A" w:rsidRDefault="0034462A" w:rsidP="00A01088">
      <w:pPr>
        <w:tabs>
          <w:tab w:val="left" w:pos="0"/>
          <w:tab w:val="left" w:pos="1560"/>
        </w:tabs>
        <w:jc w:val="left"/>
        <w:rPr>
          <w:color w:val="333333"/>
        </w:rPr>
      </w:pPr>
      <w:r>
        <w:rPr>
          <w:color w:val="333333"/>
        </w:rPr>
        <w:t xml:space="preserve">        3. </w:t>
      </w:r>
      <w:r w:rsidRPr="00571534">
        <w:rPr>
          <w:color w:val="333333"/>
        </w:rPr>
        <w:t>Europos Sąjungos finansinė parama – 83,5 tūkst. Eur.</w:t>
      </w:r>
    </w:p>
    <w:p w:rsidR="0034462A" w:rsidRPr="00571534" w:rsidRDefault="0034462A" w:rsidP="0034462A">
      <w:pPr>
        <w:tabs>
          <w:tab w:val="left" w:pos="0"/>
          <w:tab w:val="left" w:pos="1560"/>
        </w:tabs>
        <w:ind w:firstLine="0"/>
      </w:pPr>
      <w:r>
        <w:rPr>
          <w:noProof/>
          <w:lang w:eastAsia="lt-LT"/>
        </w:rPr>
        <w:lastRenderedPageBreak/>
        <w:drawing>
          <wp:inline distT="0" distB="0" distL="0" distR="0">
            <wp:extent cx="5989293" cy="3904090"/>
            <wp:effectExtent l="19050" t="0" r="11457" b="1160"/>
            <wp:docPr id="29"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4462A" w:rsidRDefault="0034462A" w:rsidP="0034462A">
      <w:r>
        <w:t xml:space="preserve">                                                     </w:t>
      </w:r>
      <w:r w:rsidR="00C93CFA" w:rsidRPr="00C93CFA">
        <w:rPr>
          <w:b/>
          <w:noProof/>
        </w:rPr>
        <w:pict>
          <v:rect id="_x0000_s1067" style="position:absolute;left:0;text-align:left;margin-left:1.1pt;margin-top:742.6pt;width:483.9pt;height:286.5pt;z-index:251704320;mso-position-horizontal-relative:text;mso-position-vertical-relative:text" filled="f" strokeweight="1pt"/>
        </w:pict>
      </w:r>
      <w:r w:rsidRPr="006769FF">
        <w:t xml:space="preserve">   </w:t>
      </w:r>
    </w:p>
    <w:p w:rsidR="0034462A" w:rsidRDefault="0034462A" w:rsidP="0034462A">
      <w:pPr>
        <w:rPr>
          <w:b/>
          <w:bCs/>
        </w:rPr>
      </w:pPr>
      <w:r>
        <w:t xml:space="preserve">                                       </w:t>
      </w:r>
      <w:r w:rsidRPr="006769FF">
        <w:rPr>
          <w:b/>
          <w:bCs/>
        </w:rPr>
        <w:t>DARBO UŽMOKESTIS</w:t>
      </w:r>
    </w:p>
    <w:p w:rsidR="0034462A" w:rsidRPr="006769FF" w:rsidRDefault="0034462A" w:rsidP="0034462A"/>
    <w:p w:rsidR="0034462A" w:rsidRDefault="0034462A" w:rsidP="00A01088">
      <w:pPr>
        <w:jc w:val="left"/>
      </w:pPr>
      <w:r w:rsidRPr="00A754BC">
        <w:t>Rietavo savivaldybės biudžetinių įstaigų, administracijos ir administracijos struktūrinių</w:t>
      </w:r>
      <w:r w:rsidRPr="00A754BC">
        <w:rPr>
          <w:color w:val="FF0000"/>
        </w:rPr>
        <w:t xml:space="preserve"> </w:t>
      </w:r>
      <w:r w:rsidRPr="00A754BC">
        <w:t xml:space="preserve">teritorinių padalinių darbuotojų mėnesinis darbo užmokesčio vidurkis 1 etatui 2015 metais, lyginant su 2014 metais, didėjo 43 Eur (9,0 proc.), 2014 metais, lyginant su 2013 metais, didėjo 17 Eur (3,7 proc.).       </w:t>
      </w:r>
    </w:p>
    <w:p w:rsidR="0034462A" w:rsidRDefault="0034462A" w:rsidP="00A01088">
      <w:pPr>
        <w:jc w:val="left"/>
      </w:pPr>
      <w:r w:rsidRPr="00A754BC">
        <w:t>2015 metais darbo užmokesčio vidurkis padidėjo nuo liepos 1 dienos padidinus minimalią mėnesinę algą nuo 300,00 Eur iki 325,00 Eur, padidėjus tarifiniams atlygių koeficientams</w:t>
      </w:r>
      <w:r w:rsidRPr="00A754BC">
        <w:rPr>
          <w:color w:val="FF0000"/>
        </w:rPr>
        <w:t xml:space="preserve"> </w:t>
      </w:r>
      <w:r w:rsidRPr="00A754BC">
        <w:t>pedagoginiams darbuotojams, kėlusiems kvalifikacines kategorijas ir įgijusiems didesnį darbo stažą,</w:t>
      </w:r>
      <w:r w:rsidRPr="00A754BC">
        <w:rPr>
          <w:color w:val="FF0000"/>
        </w:rPr>
        <w:t xml:space="preserve"> </w:t>
      </w:r>
      <w:r w:rsidRPr="00A754BC">
        <w:t>padidėjus socialinių darbuotojų</w:t>
      </w:r>
      <w:r w:rsidR="00565033">
        <w:t xml:space="preserve">, kultūros </w:t>
      </w:r>
      <w:r w:rsidRPr="00A754BC">
        <w:t>i</w:t>
      </w:r>
      <w:r w:rsidR="00565033">
        <w:t>r</w:t>
      </w:r>
      <w:r w:rsidRPr="00A754BC">
        <w:t xml:space="preserve"> meno darbuotojų tarifinių atlygių koeficientams, taip pat padidėjus priedams už darbo stažą valstybės karjeros tarnautojams.  </w:t>
      </w:r>
    </w:p>
    <w:p w:rsidR="0034462A" w:rsidRDefault="0034462A" w:rsidP="0034462A"/>
    <w:p w:rsidR="00E97ECA" w:rsidRPr="00630125" w:rsidRDefault="00E97ECA" w:rsidP="00E97ECA">
      <w:pPr>
        <w:rPr>
          <w:i/>
        </w:rPr>
      </w:pPr>
    </w:p>
    <w:p w:rsidR="00E97ECA" w:rsidRPr="00630125" w:rsidRDefault="0034462A" w:rsidP="0034462A">
      <w:pPr>
        <w:ind w:firstLine="0"/>
        <w:rPr>
          <w:i/>
        </w:rPr>
      </w:pPr>
      <w:r>
        <w:rPr>
          <w:noProof/>
          <w:lang w:eastAsia="lt-LT"/>
        </w:rPr>
        <w:drawing>
          <wp:inline distT="0" distB="0" distL="0" distR="0">
            <wp:extent cx="5891060" cy="2400564"/>
            <wp:effectExtent l="52720" t="4869" r="51255" b="67257"/>
            <wp:docPr id="30"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97ECA" w:rsidRPr="00630125" w:rsidRDefault="00E97ECA" w:rsidP="00E97ECA">
      <w:pPr>
        <w:rPr>
          <w:i/>
        </w:rPr>
      </w:pPr>
    </w:p>
    <w:p w:rsidR="0034462A" w:rsidRDefault="0034462A" w:rsidP="0034462A">
      <w:pPr>
        <w:spacing w:before="100" w:beforeAutospacing="1" w:after="100" w:afterAutospacing="1"/>
        <w:jc w:val="center"/>
        <w:rPr>
          <w:b/>
          <w:bCs/>
        </w:rPr>
      </w:pPr>
      <w:r w:rsidRPr="00A754BC">
        <w:rPr>
          <w:b/>
          <w:bCs/>
        </w:rPr>
        <w:lastRenderedPageBreak/>
        <w:t xml:space="preserve">BIUDŽETO </w:t>
      </w:r>
      <w:r>
        <w:rPr>
          <w:b/>
          <w:bCs/>
        </w:rPr>
        <w:t>SĄNAUDOS</w:t>
      </w:r>
    </w:p>
    <w:p w:rsidR="0034462A" w:rsidRDefault="0034462A" w:rsidP="00A01088">
      <w:pPr>
        <w:spacing w:before="100" w:beforeAutospacing="1" w:after="100" w:afterAutospacing="1"/>
        <w:ind w:firstLine="0"/>
        <w:jc w:val="left"/>
      </w:pPr>
      <w:r>
        <w:t xml:space="preserve">         Nuo</w:t>
      </w:r>
      <w:r w:rsidRPr="00A754BC">
        <w:t xml:space="preserve"> 2008 metų </w:t>
      </w:r>
      <w:r>
        <w:t xml:space="preserve">Rietavo savivaldybės </w:t>
      </w:r>
      <w:r w:rsidRPr="00A754BC">
        <w:t>biudžetas sudaromas pagal programas. 2015 metais biudžetas sudarytas pagal 11 programų. Pateikiama 2015 metų patikslinta Savivaldybės biudžeto struktūra pagal programas.</w:t>
      </w:r>
    </w:p>
    <w:p w:rsidR="0034462A" w:rsidRDefault="0034462A" w:rsidP="0034462A">
      <w:pPr>
        <w:spacing w:before="100" w:beforeAutospacing="1" w:after="100" w:afterAutospacing="1"/>
        <w:ind w:firstLine="0"/>
      </w:pPr>
      <w:r>
        <w:rPr>
          <w:noProof/>
          <w:lang w:eastAsia="lt-LT"/>
        </w:rPr>
        <w:drawing>
          <wp:inline distT="0" distB="0" distL="0" distR="0">
            <wp:extent cx="5530961" cy="3792772"/>
            <wp:effectExtent l="19050" t="0" r="0" b="0"/>
            <wp:docPr id="48"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5540792" cy="3799514"/>
                    </a:xfrm>
                    <a:prstGeom prst="rect">
                      <a:avLst/>
                    </a:prstGeom>
                    <a:noFill/>
                    <a:ln w="9525">
                      <a:noFill/>
                      <a:miter lim="800000"/>
                      <a:headEnd/>
                      <a:tailEnd/>
                    </a:ln>
                  </pic:spPr>
                </pic:pic>
              </a:graphicData>
            </a:graphic>
          </wp:inline>
        </w:drawing>
      </w:r>
    </w:p>
    <w:p w:rsidR="0034462A" w:rsidRDefault="0034462A" w:rsidP="0034462A">
      <w:pPr>
        <w:spacing w:before="100" w:beforeAutospacing="1" w:after="100" w:afterAutospacing="1"/>
        <w:ind w:firstLine="0"/>
      </w:pPr>
      <w:r>
        <w:rPr>
          <w:noProof/>
          <w:lang w:eastAsia="lt-LT"/>
        </w:rPr>
        <w:lastRenderedPageBreak/>
        <w:drawing>
          <wp:inline distT="0" distB="0" distL="0" distR="0">
            <wp:extent cx="5338887" cy="4524292"/>
            <wp:effectExtent l="19050" t="0" r="14163" b="0"/>
            <wp:docPr id="52" name="Diagrama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4462A" w:rsidRDefault="0034462A" w:rsidP="0034462A">
      <w:pPr>
        <w:spacing w:before="100" w:beforeAutospacing="1" w:after="100" w:afterAutospacing="1"/>
        <w:jc w:val="center"/>
        <w:rPr>
          <w:b/>
          <w:bCs/>
        </w:rPr>
      </w:pPr>
    </w:p>
    <w:p w:rsidR="0034462A" w:rsidRPr="00F03362" w:rsidRDefault="0034462A" w:rsidP="0034462A">
      <w:pPr>
        <w:spacing w:before="100" w:beforeAutospacing="1" w:after="100" w:afterAutospacing="1"/>
        <w:jc w:val="center"/>
        <w:rPr>
          <w:b/>
          <w:bCs/>
        </w:rPr>
      </w:pPr>
      <w:r w:rsidRPr="00F03362">
        <w:rPr>
          <w:b/>
          <w:bCs/>
        </w:rPr>
        <w:t>2015 M. RIETAVO SAVIVALDYBĖS BIUDŽETO SĄNAUDŲ STRUKTŪRA</w:t>
      </w:r>
    </w:p>
    <w:p w:rsidR="0034462A" w:rsidRPr="00F03362" w:rsidRDefault="0034462A" w:rsidP="00A01088">
      <w:pPr>
        <w:jc w:val="left"/>
      </w:pPr>
      <w:r w:rsidRPr="00F03362">
        <w:rPr>
          <w:bCs/>
        </w:rPr>
        <w:t>2015 m. didėjo d</w:t>
      </w:r>
      <w:r w:rsidRPr="00F03362">
        <w:t xml:space="preserve">arbo užmokesčio ir socialinio draudimo sąnaudos, nes didėjo minimali mėnesio alga (MMA), kultūros darbuotojų darbo užmokestis ir pedagoginių darbuotojų išeitinės išmokos. </w:t>
      </w:r>
    </w:p>
    <w:p w:rsidR="0034462A" w:rsidRPr="00F03362" w:rsidRDefault="0034462A" w:rsidP="00A01088">
      <w:pPr>
        <w:jc w:val="left"/>
      </w:pPr>
      <w:r w:rsidRPr="00F03362">
        <w:t>Išmokėtos socialines išmokos 2015 metais, lyginant su 2014 metais</w:t>
      </w:r>
      <w:r w:rsidR="00565033">
        <w:t>,</w:t>
      </w:r>
      <w:r w:rsidRPr="00F03362">
        <w:t xml:space="preserve"> mažėjo 33,8 tūkst. Eur (24,8 proc.). Socialinių išmokų mažėjimui įtakos galėjo turėti gyventojų migracija, nedarbo lygio mažėjimas ir griežtesnė pašalpų mokėjimo kontrolė.</w:t>
      </w:r>
    </w:p>
    <w:p w:rsidR="0034462A" w:rsidRDefault="00565033" w:rsidP="00A01088">
      <w:pPr>
        <w:jc w:val="left"/>
      </w:pPr>
      <w:r w:rsidRPr="00F03362">
        <w:t>Didžiąją t</w:t>
      </w:r>
      <w:r w:rsidR="0034462A" w:rsidRPr="00F03362">
        <w:t>urto įsigijimo sąnaudų dalį sudaro vykdomų projektų sumos, įsigyt</w:t>
      </w:r>
      <w:r>
        <w:t>i</w:t>
      </w:r>
      <w:r w:rsidR="0034462A" w:rsidRPr="00F03362">
        <w:t xml:space="preserve"> 2 </w:t>
      </w:r>
      <w:r>
        <w:t>automobiliai</w:t>
      </w:r>
      <w:r w:rsidR="0034462A" w:rsidRPr="00F03362">
        <w:t xml:space="preserve"> (Rietavo miesto ir Rietavo seniūnija), atnaujinti kompiuteriai. </w:t>
      </w:r>
    </w:p>
    <w:p w:rsidR="0034462A" w:rsidRPr="00F03362" w:rsidRDefault="0034462A" w:rsidP="00A01088">
      <w:pPr>
        <w:ind w:firstLine="0"/>
        <w:jc w:val="left"/>
      </w:pPr>
      <w:r>
        <w:t xml:space="preserve">             </w:t>
      </w:r>
      <w:r w:rsidRPr="00F03362">
        <w:t>Rietavo savivaldybės įstaigoms papildomai skirt</w:t>
      </w:r>
      <w:r w:rsidR="00565033">
        <w:t>a</w:t>
      </w:r>
      <w:r w:rsidRPr="00F03362">
        <w:t xml:space="preserve"> lėš</w:t>
      </w:r>
      <w:r w:rsidR="00565033">
        <w:t>ų</w:t>
      </w:r>
      <w:r w:rsidRPr="00F03362">
        <w:t xml:space="preserve"> kreditini</w:t>
      </w:r>
      <w:r w:rsidR="00565033">
        <w:t>am</w:t>
      </w:r>
      <w:r w:rsidRPr="00F03362">
        <w:t xml:space="preserve"> įsiskolinim</w:t>
      </w:r>
      <w:r w:rsidR="00565033">
        <w:t>ui</w:t>
      </w:r>
      <w:r w:rsidRPr="00F03362">
        <w:t xml:space="preserve"> deng</w:t>
      </w:r>
      <w:r w:rsidR="00565033">
        <w:t>t</w:t>
      </w:r>
      <w:r w:rsidRPr="00F03362">
        <w:t>i, padidėjo kitos išlaidos.</w:t>
      </w:r>
    </w:p>
    <w:p w:rsidR="0034462A" w:rsidRDefault="0034462A" w:rsidP="0034462A">
      <w:pPr>
        <w:spacing w:before="100" w:beforeAutospacing="1" w:after="100" w:afterAutospacing="1"/>
        <w:ind w:firstLine="0"/>
      </w:pPr>
      <w:r>
        <w:rPr>
          <w:noProof/>
          <w:lang w:eastAsia="lt-LT"/>
        </w:rPr>
        <w:lastRenderedPageBreak/>
        <w:drawing>
          <wp:inline distT="0" distB="0" distL="0" distR="0">
            <wp:extent cx="5989293" cy="3514476"/>
            <wp:effectExtent l="19050" t="0" r="11457" b="0"/>
            <wp:docPr id="53"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4462A" w:rsidRDefault="0034462A" w:rsidP="0034462A">
      <w:pPr>
        <w:spacing w:before="100" w:beforeAutospacing="1" w:after="100" w:afterAutospacing="1"/>
        <w:jc w:val="center"/>
        <w:rPr>
          <w:b/>
          <w:bCs/>
        </w:rPr>
      </w:pPr>
      <w:r w:rsidRPr="001D0CA4">
        <w:rPr>
          <w:b/>
          <w:bCs/>
        </w:rPr>
        <w:t>201</w:t>
      </w:r>
      <w:r>
        <w:rPr>
          <w:b/>
          <w:bCs/>
        </w:rPr>
        <w:t>5</w:t>
      </w:r>
      <w:r w:rsidRPr="001D0CA4">
        <w:rPr>
          <w:b/>
          <w:bCs/>
        </w:rPr>
        <w:t xml:space="preserve"> M. PROGRAMŲ FINANSAVIMAS PAGAL ŠALTINIUS</w:t>
      </w:r>
    </w:p>
    <w:p w:rsidR="0034462A" w:rsidRPr="00A13745" w:rsidRDefault="0034462A" w:rsidP="00A01088">
      <w:pPr>
        <w:spacing w:before="100" w:beforeAutospacing="1" w:after="100" w:afterAutospacing="1"/>
        <w:jc w:val="left"/>
      </w:pPr>
      <w:r w:rsidRPr="00072B63">
        <w:t>2015 metais programų finansavimui iš viso skirta 11502</w:t>
      </w:r>
      <w:r>
        <w:t>,</w:t>
      </w:r>
      <w:r w:rsidRPr="00072B63">
        <w:t>7</w:t>
      </w:r>
      <w:r>
        <w:t xml:space="preserve"> tūkst. </w:t>
      </w:r>
      <w:r w:rsidRPr="00072B63">
        <w:t>Eur, t. sk. iš biudžeto –</w:t>
      </w:r>
      <w:r>
        <w:t xml:space="preserve"> </w:t>
      </w:r>
      <w:r w:rsidRPr="00072B63">
        <w:t>9894</w:t>
      </w:r>
      <w:r>
        <w:t>,9 tūkst.</w:t>
      </w:r>
      <w:r w:rsidRPr="00072B63">
        <w:t xml:space="preserve"> Eur</w:t>
      </w:r>
      <w:r>
        <w:t xml:space="preserve"> (86,02 proc.)</w:t>
      </w:r>
      <w:r w:rsidR="00565033">
        <w:t>;</w:t>
      </w:r>
      <w:r w:rsidRPr="00072B63">
        <w:t xml:space="preserve"> 2014 metais programų finansavimui iš viso – 8307</w:t>
      </w:r>
      <w:r>
        <w:t>,</w:t>
      </w:r>
      <w:r w:rsidRPr="00072B63">
        <w:t>4</w:t>
      </w:r>
      <w:r>
        <w:t xml:space="preserve"> tūkst.</w:t>
      </w:r>
      <w:r w:rsidRPr="00072B63">
        <w:t xml:space="preserve"> Eur, t. sk. iš biudžeto – 6242</w:t>
      </w:r>
      <w:r>
        <w:t xml:space="preserve">,5 tūkst. </w:t>
      </w:r>
      <w:r w:rsidRPr="00072B63">
        <w:t>Eur (75,14 proc.)</w:t>
      </w:r>
      <w:r w:rsidR="00565033">
        <w:t>;</w:t>
      </w:r>
      <w:r w:rsidRPr="00072B63">
        <w:t xml:space="preserve"> 2013 metais programų finansavimui iš viso</w:t>
      </w:r>
      <w:r w:rsidRPr="009D0D40">
        <w:rPr>
          <w:color w:val="FF0000"/>
        </w:rPr>
        <w:t xml:space="preserve"> </w:t>
      </w:r>
      <w:r w:rsidRPr="00A762FA">
        <w:t>8731</w:t>
      </w:r>
      <w:r>
        <w:t>,6 tūkst.</w:t>
      </w:r>
      <w:r w:rsidRPr="00A762FA">
        <w:t xml:space="preserve"> </w:t>
      </w:r>
      <w:r w:rsidRPr="00A13745">
        <w:t xml:space="preserve">Eur, t. sk. iš biudžeto – 6304,3 tūkst. Eur (72,20 proc.).  </w:t>
      </w:r>
    </w:p>
    <w:p w:rsidR="0034462A" w:rsidRDefault="0034462A" w:rsidP="0034462A">
      <w:pPr>
        <w:spacing w:before="100" w:beforeAutospacing="1" w:after="100" w:afterAutospacing="1"/>
        <w:ind w:firstLine="0"/>
      </w:pPr>
      <w:r>
        <w:rPr>
          <w:noProof/>
          <w:color w:val="FF0000"/>
          <w:lang w:eastAsia="lt-LT"/>
        </w:rPr>
        <w:drawing>
          <wp:inline distT="0" distB="0" distL="0" distR="0">
            <wp:extent cx="5896224" cy="2325922"/>
            <wp:effectExtent l="76200" t="19050" r="47376" b="55328"/>
            <wp:docPr id="54" name="Diagrama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4462A" w:rsidRDefault="0034462A" w:rsidP="00A01088">
      <w:pPr>
        <w:spacing w:before="100" w:beforeAutospacing="1" w:after="100" w:afterAutospacing="1"/>
        <w:jc w:val="left"/>
      </w:pPr>
      <w:r w:rsidRPr="005D4072">
        <w:t xml:space="preserve">Pateiktoje diagramoje matyti visos </w:t>
      </w:r>
      <w:r>
        <w:t xml:space="preserve">(iš visų finansavimo šaltinių) </w:t>
      </w:r>
      <w:r w:rsidRPr="005D4072">
        <w:t>programų įgyvendinimui 2015 met</w:t>
      </w:r>
      <w:r>
        <w:t>ais</w:t>
      </w:r>
      <w:r w:rsidR="00565033" w:rsidRPr="00565033">
        <w:t xml:space="preserve"> </w:t>
      </w:r>
      <w:r w:rsidR="00565033" w:rsidRPr="005D4072">
        <w:t>skirtos lėšos</w:t>
      </w:r>
      <w:r>
        <w:t>.</w:t>
      </w:r>
    </w:p>
    <w:p w:rsidR="0034462A" w:rsidRPr="005D4072" w:rsidRDefault="0034462A" w:rsidP="0034462A">
      <w:pPr>
        <w:spacing w:before="100" w:beforeAutospacing="1" w:after="100" w:afterAutospacing="1"/>
        <w:ind w:firstLine="0"/>
      </w:pPr>
      <w:r>
        <w:rPr>
          <w:noProof/>
          <w:lang w:eastAsia="lt-LT"/>
        </w:rPr>
        <w:lastRenderedPageBreak/>
        <w:drawing>
          <wp:inline distT="0" distB="0" distL="0" distR="0">
            <wp:extent cx="5732642" cy="6154309"/>
            <wp:effectExtent l="19050" t="0" r="20458" b="0"/>
            <wp:docPr id="55" name="Diagrama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C5048" w:rsidRPr="00342665" w:rsidRDefault="00FC5048" w:rsidP="00FC5048">
      <w:pPr>
        <w:spacing w:before="100" w:beforeAutospacing="1" w:after="100" w:afterAutospacing="1" w:line="240" w:lineRule="exact"/>
        <w:jc w:val="center"/>
      </w:pPr>
      <w:r>
        <w:rPr>
          <w:b/>
        </w:rPr>
        <w:t>RIET</w:t>
      </w:r>
      <w:r w:rsidRPr="00342665">
        <w:rPr>
          <w:b/>
        </w:rPr>
        <w:t>AVO SAVIVALDYBĖS SKOLOS</w:t>
      </w:r>
      <w:r w:rsidRPr="00342665">
        <w:tab/>
      </w:r>
    </w:p>
    <w:p w:rsidR="00FC5048" w:rsidRPr="00342665" w:rsidRDefault="00FC5048" w:rsidP="00A01088">
      <w:pPr>
        <w:jc w:val="left"/>
      </w:pPr>
      <w:r w:rsidRPr="00342665">
        <w:t>Rietavo savivaldybė per ataskaitinį laikotarpį turėjo:</w:t>
      </w:r>
    </w:p>
    <w:p w:rsidR="00FC5048" w:rsidRPr="00342665" w:rsidRDefault="00FC5048" w:rsidP="00A01088">
      <w:pPr>
        <w:jc w:val="left"/>
      </w:pPr>
      <w:r w:rsidRPr="00342665">
        <w:t>Negrąžintų paskolų likutį metų pradžioje – 1539,8 tūkst. Eur, iš jų: ilgalaikių paskolų – 1539,8 tūkst. Eur. Per ataskaitinį laikotarpį gauta 558,4 tūkst. Eur, iš jų trumpalaikė paskola – 160,0 tūkst. Eur (Finansų ministerijos) ir Savivaldybės vardu – 398,4  tūkst. Eur (iš banko).</w:t>
      </w:r>
    </w:p>
    <w:p w:rsidR="00FC5048" w:rsidRPr="00342665" w:rsidRDefault="00FC5048" w:rsidP="00A01088">
      <w:pPr>
        <w:ind w:firstLine="709"/>
        <w:jc w:val="left"/>
      </w:pPr>
      <w:r w:rsidRPr="00342665">
        <w:t xml:space="preserve">Per ataskaitinį laikotarpį grąžinta </w:t>
      </w:r>
      <w:r w:rsidRPr="00342665">
        <w:rPr>
          <w:color w:val="000000"/>
        </w:rPr>
        <w:t>381,6</w:t>
      </w:r>
      <w:r w:rsidRPr="00342665">
        <w:t xml:space="preserve"> tūkst. Eur. </w:t>
      </w:r>
    </w:p>
    <w:p w:rsidR="00FC5048" w:rsidRDefault="00FC5048" w:rsidP="00A01088">
      <w:pPr>
        <w:jc w:val="left"/>
      </w:pPr>
      <w:r w:rsidRPr="00342665">
        <w:t xml:space="preserve">Negrąžintų paskolų likutis 2015 m. gruodžio 31 d. – </w:t>
      </w:r>
      <w:r w:rsidRPr="00342665">
        <w:rPr>
          <w:color w:val="000000"/>
        </w:rPr>
        <w:t>1716,6</w:t>
      </w:r>
      <w:r w:rsidRPr="00342665">
        <w:t xml:space="preserve"> tūkst. Eur, iš jų: vidaus paskola valstybės vardu – 595,8 tūkst. Eur, Savivaldybės vardu – </w:t>
      </w:r>
      <w:r w:rsidRPr="00342665">
        <w:rPr>
          <w:color w:val="000000"/>
        </w:rPr>
        <w:t>1120,8</w:t>
      </w:r>
      <w:r w:rsidRPr="00342665">
        <w:t xml:space="preserve"> tūkst. Eur.</w:t>
      </w:r>
    </w:p>
    <w:p w:rsidR="0034462A" w:rsidRDefault="00FC5048" w:rsidP="0034462A">
      <w:pPr>
        <w:spacing w:before="100" w:beforeAutospacing="1" w:after="100" w:afterAutospacing="1"/>
        <w:ind w:firstLine="0"/>
      </w:pPr>
      <w:r>
        <w:rPr>
          <w:noProof/>
          <w:lang w:eastAsia="lt-LT"/>
        </w:rPr>
        <w:lastRenderedPageBreak/>
        <w:drawing>
          <wp:inline distT="0" distB="0" distL="0" distR="0">
            <wp:extent cx="5990310" cy="3530600"/>
            <wp:effectExtent l="19050" t="0" r="10440" b="0"/>
            <wp:docPr id="56"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C5048" w:rsidRDefault="00FC5048" w:rsidP="00A01088">
      <w:pPr>
        <w:tabs>
          <w:tab w:val="left" w:pos="709"/>
        </w:tabs>
        <w:jc w:val="left"/>
      </w:pPr>
      <w:r>
        <w:t>Paskolos panaudotos (355,4 tūkst. Eur):</w:t>
      </w:r>
    </w:p>
    <w:p w:rsidR="00FC5048" w:rsidRDefault="00FC5048" w:rsidP="00A01088">
      <w:pPr>
        <w:numPr>
          <w:ilvl w:val="0"/>
          <w:numId w:val="11"/>
        </w:numPr>
        <w:tabs>
          <w:tab w:val="left" w:pos="1134"/>
        </w:tabs>
        <w:ind w:firstLine="131"/>
        <w:jc w:val="left"/>
      </w:pPr>
      <w:r>
        <w:t>Rietavo miesto katili</w:t>
      </w:r>
      <w:r w:rsidR="000C380F">
        <w:t>nės statybai – 289,5 tūkst. Eur.</w:t>
      </w:r>
    </w:p>
    <w:p w:rsidR="00FC5048" w:rsidRDefault="00FC5048" w:rsidP="00A01088">
      <w:pPr>
        <w:numPr>
          <w:ilvl w:val="0"/>
          <w:numId w:val="11"/>
        </w:numPr>
        <w:tabs>
          <w:tab w:val="left" w:pos="1134"/>
        </w:tabs>
        <w:ind w:firstLine="131"/>
        <w:jc w:val="left"/>
      </w:pPr>
      <w:r>
        <w:t>Pastato Parko g. 1</w:t>
      </w:r>
      <w:r w:rsidR="000C380F">
        <w:t>0 renovacijai – 21,6 tūkst. Eur.</w:t>
      </w:r>
    </w:p>
    <w:p w:rsidR="00FC5048" w:rsidRDefault="00FC5048" w:rsidP="00A01088">
      <w:pPr>
        <w:numPr>
          <w:ilvl w:val="0"/>
          <w:numId w:val="11"/>
        </w:numPr>
        <w:tabs>
          <w:tab w:val="left" w:pos="1134"/>
        </w:tabs>
        <w:ind w:firstLine="131"/>
        <w:jc w:val="left"/>
      </w:pPr>
      <w:r>
        <w:t>Oginskių dvaro parko specialiesiems ir detali</w:t>
      </w:r>
      <w:r w:rsidR="000C380F">
        <w:t>esiems planams – 1,7 tūkst. Eur.</w:t>
      </w:r>
    </w:p>
    <w:p w:rsidR="00FC5048" w:rsidRDefault="00FC5048" w:rsidP="00A01088">
      <w:pPr>
        <w:numPr>
          <w:ilvl w:val="0"/>
          <w:numId w:val="11"/>
        </w:numPr>
        <w:tabs>
          <w:tab w:val="left" w:pos="1134"/>
        </w:tabs>
        <w:ind w:firstLine="131"/>
        <w:jc w:val="left"/>
      </w:pPr>
      <w:r>
        <w:t>Telšių regiono komunalinių atliekų sis</w:t>
      </w:r>
      <w:r w:rsidR="000C380F">
        <w:t>temos plėtrai – 42,6 tūkst. Eur.</w:t>
      </w:r>
    </w:p>
    <w:p w:rsidR="00FC5048" w:rsidRPr="00FA19BF" w:rsidRDefault="00FC5048" w:rsidP="00A01088">
      <w:pPr>
        <w:tabs>
          <w:tab w:val="left" w:pos="709"/>
        </w:tabs>
        <w:jc w:val="left"/>
      </w:pPr>
      <w:r w:rsidRPr="00FA19BF">
        <w:t>Mokėtinos sumos 201</w:t>
      </w:r>
      <w:r>
        <w:t>5</w:t>
      </w:r>
      <w:r w:rsidRPr="00FA19BF">
        <w:t xml:space="preserve"> m. gruodžio 31 d. susidarė dėl neišmokėto darbo užmokesčio, socialinio draudimo, fizinių asmenų pajamų mokesčio už gruodžio mėnesį – </w:t>
      </w:r>
      <w:r>
        <w:t>173,8</w:t>
      </w:r>
      <w:r w:rsidRPr="00FA19BF">
        <w:t xml:space="preserve"> tūkst. </w:t>
      </w:r>
      <w:r>
        <w:t>Eur</w:t>
      </w:r>
      <w:r w:rsidRPr="00FA19BF">
        <w:t>. Mokėtinos sumos už prekių ir paslaugų naudojimą</w:t>
      </w:r>
      <w:r w:rsidR="000C380F">
        <w:t>,</w:t>
      </w:r>
      <w:r w:rsidRPr="00FA19BF">
        <w:t xml:space="preserve"> lyginant su įsiskolinimu metų pradžioje, sumažėjo </w:t>
      </w:r>
      <w:r>
        <w:t>82,0</w:t>
      </w:r>
      <w:r w:rsidRPr="00FA19BF">
        <w:t xml:space="preserve"> tūkst. </w:t>
      </w:r>
      <w:r>
        <w:t>Eur</w:t>
      </w:r>
      <w:r w:rsidRPr="00FA19BF">
        <w:t>. Mokėtinos sumos, kai įvykdymo terminas praleistas daugiau kaip 45 dienas</w:t>
      </w:r>
      <w:r w:rsidR="000C380F">
        <w:t>, sumažėjo</w:t>
      </w:r>
      <w:r w:rsidRPr="00FA19BF">
        <w:t xml:space="preserve"> </w:t>
      </w:r>
      <w:r>
        <w:t>64,</w:t>
      </w:r>
      <w:r w:rsidR="000C380F">
        <w:t>5</w:t>
      </w:r>
      <w:r w:rsidRPr="00FA19BF">
        <w:t xml:space="preserve"> tūkst. </w:t>
      </w:r>
      <w:r>
        <w:t>Eur</w:t>
      </w:r>
      <w:r w:rsidRPr="00FA19BF">
        <w:t xml:space="preserve"> (</w:t>
      </w:r>
      <w:r>
        <w:t>kelių tiesimo ir remonto darbai – 62,0 tūkst. Eur</w:t>
      </w:r>
      <w:r w:rsidRPr="00FA19BF">
        <w:t>).</w:t>
      </w:r>
    </w:p>
    <w:p w:rsidR="00FC5048" w:rsidRDefault="00FC5048" w:rsidP="00A01088">
      <w:pPr>
        <w:tabs>
          <w:tab w:val="left" w:pos="709"/>
        </w:tabs>
        <w:jc w:val="left"/>
      </w:pPr>
      <w:r w:rsidRPr="00736E46">
        <w:t xml:space="preserve">Gautinos sumos: gyventojų įsiskolinimai už komunalines paslaugas, tėvų įnašai už išlaikymą švietimo įstaigose ir mokestis už elektrą – </w:t>
      </w:r>
      <w:r>
        <w:t>23,4</w:t>
      </w:r>
      <w:r w:rsidRPr="00736E46">
        <w:t xml:space="preserve"> tūkst. </w:t>
      </w:r>
      <w:r>
        <w:t>Eur</w:t>
      </w:r>
      <w:r w:rsidRPr="00736E46">
        <w:t>. Debetin</w:t>
      </w:r>
      <w:r w:rsidR="000C380F">
        <w:t>is</w:t>
      </w:r>
      <w:r w:rsidRPr="00736E46">
        <w:t xml:space="preserve"> įsiskolinim</w:t>
      </w:r>
      <w:r w:rsidR="000C380F">
        <w:t>as</w:t>
      </w:r>
      <w:r w:rsidRPr="00736E46">
        <w:t xml:space="preserve"> metų pabaigoje</w:t>
      </w:r>
      <w:r w:rsidR="000C380F">
        <w:t>,</w:t>
      </w:r>
      <w:r w:rsidRPr="00736E46">
        <w:t xml:space="preserve"> lyginant su įsiskolinimu metų pradžioje</w:t>
      </w:r>
      <w:r w:rsidR="000C380F">
        <w:t>,</w:t>
      </w:r>
      <w:r w:rsidRPr="00736E46">
        <w:t xml:space="preserve">  </w:t>
      </w:r>
      <w:r>
        <w:t>sumažėjo</w:t>
      </w:r>
      <w:r w:rsidRPr="00736E46">
        <w:t xml:space="preserve"> </w:t>
      </w:r>
      <w:r>
        <w:t>2,9</w:t>
      </w:r>
      <w:r w:rsidRPr="00736E46">
        <w:t xml:space="preserve"> tūkst. </w:t>
      </w:r>
      <w:r>
        <w:t>Eur</w:t>
      </w:r>
      <w:r w:rsidRPr="00736E46">
        <w:t>.</w:t>
      </w:r>
    </w:p>
    <w:p w:rsidR="00EE0478" w:rsidRDefault="00EE0478" w:rsidP="00EE0478">
      <w:pPr>
        <w:pStyle w:val="Pagrindiniotekstotrauka"/>
        <w:jc w:val="center"/>
        <w:rPr>
          <w:b/>
          <w:bCs/>
        </w:rPr>
      </w:pPr>
    </w:p>
    <w:p w:rsidR="00EE0478" w:rsidRDefault="00EE0478" w:rsidP="00EE0478">
      <w:pPr>
        <w:pStyle w:val="Pagrindiniotekstotrauka"/>
        <w:jc w:val="center"/>
        <w:rPr>
          <w:b/>
          <w:bCs/>
        </w:rPr>
      </w:pPr>
      <w:r>
        <w:rPr>
          <w:b/>
          <w:bCs/>
        </w:rPr>
        <w:t>RIETAVO SAVIVALDYBĖS VALDOMAS TURTAS</w:t>
      </w:r>
    </w:p>
    <w:p w:rsidR="00EE0478" w:rsidRDefault="00EE0478" w:rsidP="00EE0478">
      <w:pPr>
        <w:pStyle w:val="Pagrindiniotekstotrauka"/>
        <w:jc w:val="center"/>
        <w:rPr>
          <w:b/>
          <w:bCs/>
        </w:rPr>
      </w:pPr>
    </w:p>
    <w:p w:rsidR="00EE0478" w:rsidRDefault="00EE0478" w:rsidP="00A01088">
      <w:pPr>
        <w:pStyle w:val="Pagrindiniotekstotrauka"/>
        <w:ind w:firstLine="0"/>
        <w:jc w:val="left"/>
      </w:pPr>
      <w:r>
        <w:t xml:space="preserve">         2015 m. gruodžio 31 d. Savivaldybė valdė ilgalaikio materialiojo ir nematerialiojo turto   už  23057,5 tūkst. Eur</w:t>
      </w:r>
      <w:r w:rsidR="000C380F">
        <w:t>,</w:t>
      </w:r>
      <w:r>
        <w:t xml:space="preserve"> atsargų – 326,1 tūkst. Eur. </w:t>
      </w:r>
    </w:p>
    <w:p w:rsidR="00E97ECA" w:rsidRPr="00630125" w:rsidRDefault="00E97ECA" w:rsidP="00E97ECA">
      <w:pPr>
        <w:rPr>
          <w:i/>
          <w:szCs w:val="24"/>
        </w:rPr>
      </w:pPr>
    </w:p>
    <w:p w:rsidR="00E97ECA" w:rsidRPr="00630125" w:rsidRDefault="00EE0478" w:rsidP="00EE0478">
      <w:pPr>
        <w:ind w:firstLine="0"/>
        <w:rPr>
          <w:i/>
          <w:szCs w:val="24"/>
        </w:rPr>
      </w:pPr>
      <w:r>
        <w:rPr>
          <w:noProof/>
          <w:lang w:eastAsia="lt-LT"/>
        </w:rPr>
        <w:lastRenderedPageBreak/>
        <w:drawing>
          <wp:inline distT="0" distB="0" distL="0" distR="0">
            <wp:extent cx="6014389" cy="5255812"/>
            <wp:effectExtent l="19050" t="0" r="24461" b="1988"/>
            <wp:docPr id="13"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97ECA" w:rsidRPr="00630125" w:rsidRDefault="00EE0478" w:rsidP="00EE0478">
      <w:pPr>
        <w:pStyle w:val="Antrat1"/>
        <w:ind w:firstLine="0"/>
        <w:jc w:val="center"/>
        <w:rPr>
          <w:rFonts w:ascii="Times New Roman" w:hAnsi="Times New Roman"/>
          <w:b w:val="0"/>
          <w:i/>
          <w:sz w:val="24"/>
          <w:szCs w:val="24"/>
        </w:rPr>
      </w:pPr>
      <w:r>
        <w:rPr>
          <w:noProof/>
          <w:lang w:eastAsia="lt-LT"/>
        </w:rPr>
        <w:drawing>
          <wp:inline distT="0" distB="0" distL="0" distR="0">
            <wp:extent cx="5670543" cy="2975859"/>
            <wp:effectExtent l="18292" t="6101" r="12195" b="0"/>
            <wp:docPr id="14" name="Diagrama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97ECA" w:rsidRDefault="00E97ECA" w:rsidP="00E97ECA">
      <w:pPr>
        <w:rPr>
          <w:i/>
        </w:rPr>
      </w:pPr>
      <w:r w:rsidRPr="00630125">
        <w:rPr>
          <w:i/>
        </w:rPr>
        <w:t xml:space="preserve">       </w:t>
      </w:r>
    </w:p>
    <w:p w:rsidR="000C380F" w:rsidRDefault="000C380F" w:rsidP="00E97ECA">
      <w:pPr>
        <w:rPr>
          <w:i/>
        </w:rPr>
      </w:pPr>
    </w:p>
    <w:p w:rsidR="000C380F" w:rsidRPr="00630125" w:rsidRDefault="000C380F" w:rsidP="00E97ECA">
      <w:pPr>
        <w:rPr>
          <w:i/>
        </w:rPr>
      </w:pPr>
    </w:p>
    <w:tbl>
      <w:tblPr>
        <w:tblW w:w="7230" w:type="dxa"/>
        <w:tblInd w:w="108" w:type="dxa"/>
        <w:tblLook w:val="04A0"/>
      </w:tblPr>
      <w:tblGrid>
        <w:gridCol w:w="3285"/>
        <w:gridCol w:w="1056"/>
        <w:gridCol w:w="1896"/>
        <w:gridCol w:w="993"/>
      </w:tblGrid>
      <w:tr w:rsidR="00EE0478" w:rsidRPr="00385A1C" w:rsidTr="000C380F">
        <w:trPr>
          <w:trHeight w:val="264"/>
        </w:trPr>
        <w:tc>
          <w:tcPr>
            <w:tcW w:w="6237" w:type="dxa"/>
            <w:gridSpan w:val="3"/>
            <w:tcBorders>
              <w:top w:val="nil"/>
              <w:left w:val="nil"/>
              <w:bottom w:val="nil"/>
              <w:right w:val="nil"/>
            </w:tcBorders>
            <w:shd w:val="clear" w:color="auto" w:fill="auto"/>
            <w:noWrap/>
            <w:vAlign w:val="bottom"/>
            <w:hideMark/>
          </w:tcPr>
          <w:p w:rsidR="00EE0478" w:rsidRDefault="00EE0478" w:rsidP="000C380F">
            <w:pPr>
              <w:ind w:right="-1374"/>
              <w:rPr>
                <w:b/>
                <w:bCs/>
                <w:i/>
                <w:iCs/>
                <w:u w:val="single"/>
                <w:lang w:val="en-US"/>
              </w:rPr>
            </w:pPr>
            <w:r w:rsidRPr="00385A1C">
              <w:rPr>
                <w:b/>
                <w:bCs/>
                <w:i/>
                <w:iCs/>
                <w:u w:val="single"/>
                <w:lang w:val="en-US"/>
              </w:rPr>
              <w:lastRenderedPageBreak/>
              <w:t xml:space="preserve">Savivaldybės turto pokyčiai </w:t>
            </w:r>
            <w:r>
              <w:rPr>
                <w:b/>
                <w:bCs/>
                <w:i/>
                <w:iCs/>
                <w:u w:val="single"/>
                <w:lang w:val="en-US"/>
              </w:rPr>
              <w:t>pagal turto grupes</w:t>
            </w:r>
          </w:p>
          <w:p w:rsidR="00EE0478" w:rsidRDefault="00EE0478" w:rsidP="000C380F">
            <w:pPr>
              <w:ind w:right="-1374"/>
              <w:rPr>
                <w:b/>
                <w:bCs/>
                <w:i/>
                <w:iCs/>
                <w:u w:val="single"/>
                <w:lang w:val="en-US"/>
              </w:rPr>
            </w:pPr>
            <w:r w:rsidRPr="00385A1C">
              <w:rPr>
                <w:b/>
                <w:bCs/>
                <w:i/>
                <w:iCs/>
                <w:u w:val="single"/>
                <w:lang w:val="en-US"/>
              </w:rPr>
              <w:t>2013 -2015 m. (tūkst. Eur.)</w:t>
            </w:r>
          </w:p>
          <w:p w:rsidR="00EE0478" w:rsidRPr="00385A1C" w:rsidRDefault="00EE0478" w:rsidP="00E520EF">
            <w:pPr>
              <w:ind w:right="-1374"/>
              <w:rPr>
                <w:b/>
                <w:bCs/>
                <w:i/>
                <w:iCs/>
                <w:u w:val="single"/>
                <w:lang w:val="en-US"/>
              </w:rPr>
            </w:pPr>
          </w:p>
        </w:tc>
        <w:tc>
          <w:tcPr>
            <w:tcW w:w="993" w:type="dxa"/>
            <w:tcBorders>
              <w:top w:val="nil"/>
              <w:left w:val="nil"/>
              <w:bottom w:val="nil"/>
              <w:right w:val="nil"/>
            </w:tcBorders>
            <w:shd w:val="clear" w:color="auto" w:fill="auto"/>
            <w:noWrap/>
            <w:vAlign w:val="bottom"/>
            <w:hideMark/>
          </w:tcPr>
          <w:p w:rsidR="00EE0478" w:rsidRPr="00385A1C" w:rsidRDefault="00EE0478" w:rsidP="00E520EF">
            <w:pPr>
              <w:ind w:left="591" w:right="-681"/>
              <w:rPr>
                <w:u w:val="single"/>
                <w:lang w:val="en-US"/>
              </w:rPr>
            </w:pPr>
          </w:p>
        </w:tc>
      </w:tr>
      <w:tr w:rsidR="00EE0478" w:rsidRPr="00385A1C" w:rsidTr="000C380F">
        <w:trPr>
          <w:trHeight w:val="264"/>
        </w:trPr>
        <w:tc>
          <w:tcPr>
            <w:tcW w:w="3285" w:type="dxa"/>
            <w:tcBorders>
              <w:top w:val="nil"/>
              <w:left w:val="nil"/>
              <w:bottom w:val="nil"/>
              <w:right w:val="nil"/>
            </w:tcBorders>
            <w:shd w:val="clear" w:color="auto" w:fill="auto"/>
            <w:noWrap/>
            <w:vAlign w:val="bottom"/>
            <w:hideMark/>
          </w:tcPr>
          <w:p w:rsidR="00EE0478" w:rsidRPr="00385A1C" w:rsidRDefault="00EE0478" w:rsidP="00E520EF">
            <w:pPr>
              <w:rPr>
                <w:i/>
                <w:iCs/>
                <w:lang w:val="en-US"/>
              </w:rPr>
            </w:pPr>
          </w:p>
        </w:tc>
        <w:tc>
          <w:tcPr>
            <w:tcW w:w="1056" w:type="dxa"/>
            <w:tcBorders>
              <w:top w:val="nil"/>
              <w:left w:val="nil"/>
              <w:bottom w:val="nil"/>
              <w:right w:val="nil"/>
            </w:tcBorders>
            <w:shd w:val="clear" w:color="auto" w:fill="auto"/>
            <w:noWrap/>
            <w:vAlign w:val="bottom"/>
            <w:hideMark/>
          </w:tcPr>
          <w:p w:rsidR="00EE0478" w:rsidRPr="00385A1C" w:rsidRDefault="00EE0478" w:rsidP="00EE0478">
            <w:pPr>
              <w:ind w:right="-2146" w:firstLine="0"/>
              <w:rPr>
                <w:b/>
                <w:i/>
                <w:lang w:val="en-US"/>
              </w:rPr>
            </w:pPr>
            <w:r w:rsidRPr="00385A1C">
              <w:rPr>
                <w:b/>
                <w:i/>
                <w:lang w:val="en-US"/>
              </w:rPr>
              <w:t>2013 m.</w:t>
            </w:r>
          </w:p>
        </w:tc>
        <w:tc>
          <w:tcPr>
            <w:tcW w:w="1896" w:type="dxa"/>
            <w:tcBorders>
              <w:top w:val="nil"/>
              <w:left w:val="nil"/>
              <w:bottom w:val="nil"/>
              <w:right w:val="nil"/>
            </w:tcBorders>
            <w:shd w:val="clear" w:color="auto" w:fill="auto"/>
            <w:noWrap/>
            <w:vAlign w:val="bottom"/>
            <w:hideMark/>
          </w:tcPr>
          <w:p w:rsidR="00EE0478" w:rsidRPr="00385A1C" w:rsidRDefault="00EE0478" w:rsidP="00E520EF">
            <w:pPr>
              <w:rPr>
                <w:b/>
                <w:i/>
                <w:lang w:val="en-US"/>
              </w:rPr>
            </w:pPr>
            <w:r>
              <w:rPr>
                <w:b/>
                <w:i/>
                <w:lang w:val="en-US"/>
              </w:rPr>
              <w:t xml:space="preserve">          </w:t>
            </w:r>
            <w:r w:rsidRPr="00385A1C">
              <w:rPr>
                <w:b/>
                <w:i/>
                <w:lang w:val="en-US"/>
              </w:rPr>
              <w:t>2014 m.</w:t>
            </w:r>
          </w:p>
        </w:tc>
        <w:tc>
          <w:tcPr>
            <w:tcW w:w="993" w:type="dxa"/>
            <w:tcBorders>
              <w:top w:val="nil"/>
              <w:left w:val="nil"/>
              <w:bottom w:val="nil"/>
              <w:right w:val="nil"/>
            </w:tcBorders>
            <w:shd w:val="clear" w:color="auto" w:fill="auto"/>
            <w:noWrap/>
            <w:vAlign w:val="bottom"/>
            <w:hideMark/>
          </w:tcPr>
          <w:p w:rsidR="00EE0478" w:rsidRPr="00385A1C" w:rsidRDefault="00EE0478" w:rsidP="00EE0478">
            <w:pPr>
              <w:ind w:right="-823" w:firstLine="0"/>
              <w:rPr>
                <w:b/>
                <w:i/>
                <w:lang w:val="en-US"/>
              </w:rPr>
            </w:pPr>
            <w:r w:rsidRPr="00385A1C">
              <w:rPr>
                <w:b/>
                <w:i/>
                <w:lang w:val="en-US"/>
              </w:rPr>
              <w:t xml:space="preserve">2015 m. </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Žemė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7323,3</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4826,2</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9389,8</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Gyvenamieji pastatai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651,4</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660,8</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652,3</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Kiti pastatai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7256</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7685</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7645</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Infrastruktūros statiniai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9182,1</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9930,9</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11120</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Mašinos ir įrenginiai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176,3</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185,7</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174,8</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Transporto priemonės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75,5</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54,4</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68,3</w:t>
            </w:r>
          </w:p>
        </w:tc>
      </w:tr>
      <w:tr w:rsidR="00EE0478" w:rsidRPr="009F4D68" w:rsidTr="000C380F">
        <w:trPr>
          <w:trHeight w:val="255"/>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Kilnojamosios vertybės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28,8</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28,8</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28,8</w:t>
            </w:r>
          </w:p>
        </w:tc>
      </w:tr>
      <w:tr w:rsidR="00EE0478" w:rsidRPr="009F4D68" w:rsidTr="000C380F">
        <w:trPr>
          <w:trHeight w:val="255"/>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Baldai ir biuro įranga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223,8</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177,8</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125,1</w:t>
            </w:r>
          </w:p>
        </w:tc>
      </w:tr>
      <w:tr w:rsidR="00EE0478" w:rsidRPr="009F4D68" w:rsidTr="000C380F">
        <w:trPr>
          <w:trHeight w:val="255"/>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Kitas materialusis turtas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868,9</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689,7</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728,4</w:t>
            </w:r>
          </w:p>
        </w:tc>
      </w:tr>
      <w:tr w:rsidR="00EE0478" w:rsidRPr="009F4D68" w:rsidTr="000C380F">
        <w:trPr>
          <w:trHeight w:val="255"/>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Nebaigta statyba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2372,2</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1386,2</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2275,2</w:t>
            </w:r>
          </w:p>
        </w:tc>
      </w:tr>
      <w:tr w:rsidR="00EE0478" w:rsidRPr="009F4D68" w:rsidTr="000C380F">
        <w:trPr>
          <w:trHeight w:val="240"/>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Nematerialusis turtas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572,4</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360,6</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230,2</w:t>
            </w:r>
          </w:p>
        </w:tc>
      </w:tr>
      <w:tr w:rsidR="00EE0478" w:rsidRPr="009F4D68" w:rsidTr="000C380F">
        <w:trPr>
          <w:trHeight w:val="264"/>
        </w:trPr>
        <w:tc>
          <w:tcPr>
            <w:tcW w:w="3285" w:type="dxa"/>
            <w:tcBorders>
              <w:top w:val="nil"/>
              <w:left w:val="nil"/>
              <w:bottom w:val="nil"/>
              <w:right w:val="nil"/>
            </w:tcBorders>
            <w:shd w:val="clear" w:color="auto" w:fill="auto"/>
            <w:noWrap/>
            <w:vAlign w:val="bottom"/>
            <w:hideMark/>
          </w:tcPr>
          <w:p w:rsidR="00EE0478" w:rsidRPr="009F4D68" w:rsidRDefault="00EE0478" w:rsidP="00E520EF">
            <w:pPr>
              <w:rPr>
                <w:bCs/>
                <w:i/>
                <w:iCs/>
                <w:lang w:val="en-US"/>
              </w:rPr>
            </w:pPr>
            <w:r w:rsidRPr="009F4D68">
              <w:rPr>
                <w:bCs/>
                <w:i/>
                <w:iCs/>
                <w:lang w:val="en-US"/>
              </w:rPr>
              <w:t xml:space="preserve">Atsargos                       </w:t>
            </w:r>
          </w:p>
        </w:tc>
        <w:tc>
          <w:tcPr>
            <w:tcW w:w="1056"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277,1</w:t>
            </w:r>
          </w:p>
        </w:tc>
        <w:tc>
          <w:tcPr>
            <w:tcW w:w="1896" w:type="dxa"/>
            <w:tcBorders>
              <w:top w:val="nil"/>
              <w:left w:val="nil"/>
              <w:bottom w:val="nil"/>
              <w:right w:val="nil"/>
            </w:tcBorders>
            <w:shd w:val="clear" w:color="auto" w:fill="auto"/>
            <w:noWrap/>
            <w:vAlign w:val="bottom"/>
            <w:hideMark/>
          </w:tcPr>
          <w:p w:rsidR="00EE0478" w:rsidRPr="009F4D68" w:rsidRDefault="00EE0478" w:rsidP="00E520EF">
            <w:pPr>
              <w:jc w:val="right"/>
              <w:rPr>
                <w:bCs/>
                <w:i/>
                <w:iCs/>
                <w:lang w:val="en-US"/>
              </w:rPr>
            </w:pPr>
            <w:r w:rsidRPr="009F4D68">
              <w:rPr>
                <w:bCs/>
                <w:i/>
                <w:iCs/>
                <w:lang w:val="en-US"/>
              </w:rPr>
              <w:t>267,9</w:t>
            </w:r>
          </w:p>
        </w:tc>
        <w:tc>
          <w:tcPr>
            <w:tcW w:w="993" w:type="dxa"/>
            <w:tcBorders>
              <w:top w:val="nil"/>
              <w:left w:val="nil"/>
              <w:bottom w:val="nil"/>
              <w:right w:val="nil"/>
            </w:tcBorders>
            <w:shd w:val="clear" w:color="auto" w:fill="auto"/>
            <w:noWrap/>
            <w:vAlign w:val="bottom"/>
            <w:hideMark/>
          </w:tcPr>
          <w:p w:rsidR="00EE0478" w:rsidRPr="009F4D68" w:rsidRDefault="00EE0478" w:rsidP="00EE0478">
            <w:pPr>
              <w:ind w:firstLine="0"/>
              <w:rPr>
                <w:bCs/>
                <w:i/>
                <w:iCs/>
                <w:lang w:val="en-US"/>
              </w:rPr>
            </w:pPr>
            <w:r w:rsidRPr="009F4D68">
              <w:rPr>
                <w:bCs/>
                <w:i/>
                <w:iCs/>
                <w:lang w:val="en-US"/>
              </w:rPr>
              <w:t>326,1</w:t>
            </w:r>
          </w:p>
        </w:tc>
      </w:tr>
    </w:tbl>
    <w:p w:rsidR="00EE0478" w:rsidRDefault="00EE0478" w:rsidP="00E97ECA">
      <w:pPr>
        <w:pStyle w:val="prastasistinklapis2"/>
        <w:spacing w:before="0" w:after="0"/>
        <w:ind w:firstLine="993"/>
        <w:jc w:val="both"/>
        <w:rPr>
          <w:i/>
          <w:shd w:val="clear" w:color="auto" w:fill="FFFFFF"/>
          <w:lang w:val="lt-LT"/>
        </w:rPr>
      </w:pPr>
    </w:p>
    <w:p w:rsidR="00E97ECA" w:rsidRPr="00630125" w:rsidRDefault="00EE0478" w:rsidP="00EE0478">
      <w:pPr>
        <w:pStyle w:val="prastasistinklapis2"/>
        <w:spacing w:before="0" w:after="0"/>
        <w:jc w:val="both"/>
        <w:rPr>
          <w:i/>
          <w:shd w:val="clear" w:color="auto" w:fill="FFFFFF"/>
          <w:lang w:val="lt-LT"/>
        </w:rPr>
      </w:pPr>
      <w:r>
        <w:rPr>
          <w:noProof/>
          <w:lang w:val="lt-LT" w:eastAsia="lt-LT"/>
        </w:rPr>
        <w:drawing>
          <wp:inline distT="0" distB="0" distL="0" distR="0">
            <wp:extent cx="6008674" cy="4152818"/>
            <wp:effectExtent l="19050" t="0" r="11126" b="82"/>
            <wp:docPr id="16" name="Diagrama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97ECA" w:rsidRPr="00630125" w:rsidRDefault="00E97ECA" w:rsidP="00E97ECA">
      <w:pPr>
        <w:pStyle w:val="prastasistinklapis2"/>
        <w:spacing w:before="0" w:after="0"/>
        <w:ind w:firstLine="993"/>
        <w:jc w:val="both"/>
        <w:rPr>
          <w:i/>
          <w:shd w:val="clear" w:color="auto" w:fill="FFFFFF"/>
          <w:lang w:val="lt-LT"/>
        </w:rPr>
      </w:pPr>
    </w:p>
    <w:p w:rsidR="00EE0478" w:rsidRDefault="00EE0478" w:rsidP="00EE0478">
      <w:pPr>
        <w:pStyle w:val="Pagrindinistekstas2"/>
        <w:ind w:firstLine="993"/>
        <w:jc w:val="center"/>
        <w:rPr>
          <w:b/>
          <w:color w:val="000000"/>
        </w:rPr>
      </w:pPr>
      <w:r w:rsidRPr="008120BD">
        <w:rPr>
          <w:b/>
          <w:color w:val="000000"/>
        </w:rPr>
        <w:t>SOCIALINIS BŪSTAS</w:t>
      </w:r>
    </w:p>
    <w:p w:rsidR="00EE0478" w:rsidRDefault="00EE0478" w:rsidP="00EE0478">
      <w:pPr>
        <w:pStyle w:val="Pagrindinistekstas2"/>
        <w:ind w:firstLine="993"/>
        <w:jc w:val="center"/>
        <w:rPr>
          <w:b/>
          <w:color w:val="000000"/>
        </w:rPr>
      </w:pPr>
    </w:p>
    <w:p w:rsidR="00EE0478" w:rsidRPr="008120BD" w:rsidRDefault="00EE0478" w:rsidP="00EE0478">
      <w:pPr>
        <w:pStyle w:val="Pagrindinistekstas2"/>
        <w:ind w:firstLine="993"/>
        <w:jc w:val="center"/>
        <w:rPr>
          <w:b/>
          <w:color w:val="000000"/>
        </w:rPr>
      </w:pPr>
    </w:p>
    <w:p w:rsidR="00EE0478" w:rsidRDefault="00EE0478" w:rsidP="00A01088">
      <w:pPr>
        <w:pStyle w:val="Pagrindinistekstas2"/>
        <w:spacing w:after="0" w:line="240" w:lineRule="auto"/>
      </w:pPr>
      <w:r>
        <w:lastRenderedPageBreak/>
        <w:t xml:space="preserve">       2015 m. gruodžio 31 d.  t</w:t>
      </w:r>
      <w:r>
        <w:rPr>
          <w:color w:val="000000"/>
        </w:rPr>
        <w:t xml:space="preserve">eisę į socialinio būsto nuomą </w:t>
      </w:r>
      <w:r>
        <w:t xml:space="preserve"> turinčių asmenų sąrašuose  įrašyt</w:t>
      </w:r>
      <w:r w:rsidR="000C380F">
        <w:t>i</w:t>
      </w:r>
      <w:r>
        <w:t xml:space="preserve"> 59 asmenys ir šeimos. Jaunų šeimų sąraše – 20</w:t>
      </w:r>
      <w:r w:rsidR="000C380F">
        <w:t>,</w:t>
      </w:r>
      <w:r>
        <w:t xml:space="preserve"> šeimų, auginančių tris ar daugiau vaikų (įvaikių) – 6,  likusių be tėvų globos asmenų – 4, neįgaliųjų asmenų, sergančių lėtinių ligų, įrašytų į Vyriausybė</w:t>
      </w:r>
      <w:r w:rsidR="000C380F">
        <w:t>s</w:t>
      </w:r>
      <w:r>
        <w:t xml:space="preserve"> ar jos įgaliotos institucijos patvirtintą sąrašą, sunkiomis formomis ir šeimų, kuriose yra tokių asmenų, sąrašą – 8, bendrajame – 15, socialinio būsto nuomininkų, turinčių teisę į būsto pagerinimą – 6</w:t>
      </w:r>
      <w:r w:rsidR="000C380F">
        <w:t xml:space="preserve"> asmenys ir šeimos</w:t>
      </w:r>
      <w:r>
        <w:t>. Per 2015 metus iš sąrašų išbraukti 28 asmenys ir šeimos, kurie neteko teisės į paramą dėl įvairių priežasčių. Įrašyta 18 asmenų ir šeimų</w:t>
      </w:r>
      <w:r w:rsidR="000C380F">
        <w:t>,</w:t>
      </w:r>
      <w:r>
        <w:t xml:space="preserve"> turinčių teisę į paramą ir pageidaujančių išsinuomoti Savivaldybės socialinį būstą.</w:t>
      </w:r>
    </w:p>
    <w:p w:rsidR="00E97ECA" w:rsidRPr="00EE0478" w:rsidRDefault="00E97ECA" w:rsidP="00E97ECA">
      <w:pPr>
        <w:pStyle w:val="prastasistinklapis2"/>
        <w:spacing w:before="0" w:after="0"/>
        <w:ind w:firstLine="993"/>
        <w:jc w:val="both"/>
        <w:rPr>
          <w:i/>
          <w:shd w:val="clear" w:color="auto" w:fill="FFFFFF"/>
          <w:lang w:val="lt-LT"/>
        </w:rPr>
      </w:pPr>
    </w:p>
    <w:p w:rsidR="00E97ECA" w:rsidRPr="00630125" w:rsidRDefault="00EE0478" w:rsidP="00EE0478">
      <w:pPr>
        <w:pStyle w:val="prastasistinklapis2"/>
        <w:spacing w:before="0" w:after="0"/>
        <w:jc w:val="center"/>
        <w:rPr>
          <w:i/>
          <w:shd w:val="clear" w:color="auto" w:fill="FFFFFF"/>
        </w:rPr>
      </w:pPr>
      <w:r>
        <w:rPr>
          <w:noProof/>
          <w:color w:val="FF0000"/>
          <w:lang w:val="lt-LT" w:eastAsia="lt-LT"/>
        </w:rPr>
        <w:drawing>
          <wp:inline distT="0" distB="0" distL="0" distR="0">
            <wp:extent cx="5277789" cy="3174807"/>
            <wp:effectExtent l="19050" t="0" r="18111" b="6543"/>
            <wp:docPr id="17"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97ECA" w:rsidRPr="00630125" w:rsidRDefault="00E97ECA" w:rsidP="00E97ECA">
      <w:pPr>
        <w:pStyle w:val="prastasistinklapis2"/>
        <w:spacing w:before="0" w:after="0"/>
        <w:ind w:firstLine="993"/>
        <w:jc w:val="both"/>
        <w:rPr>
          <w:i/>
          <w:shd w:val="clear" w:color="auto" w:fill="FFFFFF"/>
          <w:lang w:val="lt-LT"/>
        </w:rPr>
      </w:pPr>
    </w:p>
    <w:p w:rsidR="00E97ECA" w:rsidRDefault="00EE0478" w:rsidP="00E97ECA">
      <w:pPr>
        <w:pStyle w:val="prastasistinklapis2"/>
        <w:spacing w:before="0" w:after="0"/>
        <w:jc w:val="center"/>
        <w:rPr>
          <w:b/>
          <w:bCs/>
          <w:i/>
          <w:shd w:val="clear" w:color="auto" w:fill="FFFFFF"/>
          <w:lang w:val="lt-LT"/>
        </w:rPr>
      </w:pPr>
      <w:r>
        <w:rPr>
          <w:noProof/>
          <w:color w:val="FF0000"/>
          <w:lang w:val="lt-LT" w:eastAsia="lt-LT"/>
        </w:rPr>
        <w:drawing>
          <wp:inline distT="0" distB="0" distL="0" distR="0">
            <wp:extent cx="5288280" cy="3158331"/>
            <wp:effectExtent l="19050" t="0" r="26670" b="3969"/>
            <wp:docPr id="18" name="Diagrama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E0478" w:rsidRDefault="00EE0478" w:rsidP="00E97ECA">
      <w:pPr>
        <w:pStyle w:val="prastasistinklapis2"/>
        <w:spacing w:before="0" w:after="0"/>
        <w:jc w:val="center"/>
        <w:rPr>
          <w:b/>
          <w:bCs/>
          <w:i/>
          <w:shd w:val="clear" w:color="auto" w:fill="FFFFFF"/>
          <w:lang w:val="lt-LT"/>
        </w:rPr>
      </w:pPr>
    </w:p>
    <w:p w:rsidR="00EE0478" w:rsidRPr="00EE0478" w:rsidRDefault="00EE0478" w:rsidP="00A01088">
      <w:pPr>
        <w:pStyle w:val="Pagrindinistekstas2"/>
        <w:spacing w:after="0" w:line="240" w:lineRule="auto"/>
        <w:ind w:firstLine="992"/>
        <w:jc w:val="left"/>
        <w:rPr>
          <w:noProof/>
          <w:color w:val="000000"/>
        </w:rPr>
      </w:pPr>
      <w:r w:rsidRPr="00EE0478">
        <w:rPr>
          <w:noProof/>
          <w:color w:val="000000"/>
        </w:rPr>
        <w:t>Savivaldybė valdo nuosavybės teise 63 būstus</w:t>
      </w:r>
      <w:r w:rsidR="00095D4D">
        <w:rPr>
          <w:noProof/>
          <w:color w:val="000000"/>
        </w:rPr>
        <w:t>,</w:t>
      </w:r>
      <w:r w:rsidRPr="00EE0478">
        <w:rPr>
          <w:noProof/>
          <w:color w:val="000000"/>
        </w:rPr>
        <w:t xml:space="preserve"> iš kurių 46 nuomojami socialinio būsto sąlygomis,  15 </w:t>
      </w:r>
      <w:r w:rsidR="00095D4D">
        <w:rPr>
          <w:noProof/>
          <w:color w:val="000000"/>
        </w:rPr>
        <w:t xml:space="preserve">– </w:t>
      </w:r>
      <w:r w:rsidR="00095D4D" w:rsidRPr="00EE0478">
        <w:rPr>
          <w:noProof/>
          <w:color w:val="000000"/>
        </w:rPr>
        <w:t>S</w:t>
      </w:r>
      <w:r w:rsidRPr="00EE0478">
        <w:rPr>
          <w:noProof/>
          <w:color w:val="000000"/>
        </w:rPr>
        <w:t>avivaldybės būsto sąlygomis, 2 butai yra netinkami gyventi, avarinės būklės. 2015 m. parduoti 9 butai, už kuriuos gauta 64 500 Eur pajamų. Iš šių lėšų nupirktas butas Rietavo m. Plungės g. 77 (17 500 Eur).</w:t>
      </w:r>
    </w:p>
    <w:p w:rsidR="00EE0478" w:rsidRPr="00630125" w:rsidRDefault="00EE0478" w:rsidP="00E97ECA">
      <w:pPr>
        <w:pStyle w:val="prastasistinklapis2"/>
        <w:spacing w:before="0" w:after="0"/>
        <w:jc w:val="center"/>
        <w:rPr>
          <w:b/>
          <w:bCs/>
          <w:i/>
          <w:shd w:val="clear" w:color="auto" w:fill="FFFFFF"/>
          <w:lang w:val="lt-LT"/>
        </w:rPr>
      </w:pPr>
      <w:r>
        <w:rPr>
          <w:noProof/>
          <w:color w:val="FF0000"/>
          <w:lang w:val="lt-LT" w:eastAsia="lt-LT"/>
        </w:rPr>
        <w:lastRenderedPageBreak/>
        <w:drawing>
          <wp:inline distT="0" distB="0" distL="0" distR="0">
            <wp:extent cx="5288915" cy="3596861"/>
            <wp:effectExtent l="19050" t="0" r="26035" b="3589"/>
            <wp:docPr id="19" name="Diagrama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E0478" w:rsidRDefault="00EE0478" w:rsidP="00E97ECA">
      <w:pPr>
        <w:pStyle w:val="prastasistinklapis2"/>
        <w:spacing w:before="0" w:after="0"/>
        <w:jc w:val="center"/>
        <w:rPr>
          <w:b/>
          <w:bCs/>
          <w:i/>
          <w:shd w:val="clear" w:color="auto" w:fill="FFFFFF"/>
          <w:lang w:val="lt-LT"/>
        </w:rPr>
      </w:pPr>
    </w:p>
    <w:p w:rsidR="00EE0478" w:rsidRPr="00EE0478" w:rsidRDefault="00EE0478" w:rsidP="00EE0478">
      <w:pPr>
        <w:pStyle w:val="Pagrindinistekstas2"/>
        <w:jc w:val="center"/>
        <w:rPr>
          <w:color w:val="FF0000"/>
        </w:rPr>
      </w:pPr>
      <w:r>
        <w:rPr>
          <w:b/>
          <w:bCs/>
          <w:iCs/>
          <w:color w:val="000000"/>
          <w:shd w:val="clear" w:color="auto" w:fill="FFFFFF"/>
        </w:rPr>
        <w:t>PARAMA VERSLUI</w:t>
      </w:r>
    </w:p>
    <w:p w:rsidR="00EE0478" w:rsidRDefault="00095D4D" w:rsidP="00A01088">
      <w:pPr>
        <w:pStyle w:val="prastasistinklapis2"/>
        <w:spacing w:before="0" w:after="0"/>
        <w:ind w:firstLine="993"/>
        <w:rPr>
          <w:shd w:val="clear" w:color="auto" w:fill="FFFFFF"/>
          <w:lang w:val="lt-LT"/>
        </w:rPr>
      </w:pPr>
      <w:r>
        <w:rPr>
          <w:shd w:val="clear" w:color="auto" w:fill="FFFFFF"/>
          <w:lang w:val="lt-LT"/>
        </w:rPr>
        <w:t xml:space="preserve">Pagrindinė </w:t>
      </w:r>
      <w:r w:rsidR="00EE0478">
        <w:rPr>
          <w:shd w:val="clear" w:color="auto" w:fill="FFFFFF"/>
          <w:lang w:val="lt-LT"/>
        </w:rPr>
        <w:t xml:space="preserve">Smulkaus ir vidutinio verslo rėmimo programos  funkcija </w:t>
      </w:r>
      <w:r>
        <w:rPr>
          <w:shd w:val="clear" w:color="auto" w:fill="FFFFFF"/>
          <w:lang w:val="lt-LT"/>
        </w:rPr>
        <w:t>–</w:t>
      </w:r>
      <w:r w:rsidR="00EE0478">
        <w:rPr>
          <w:shd w:val="clear" w:color="auto" w:fill="FFFFFF"/>
          <w:lang w:val="lt-LT"/>
        </w:rPr>
        <w:t xml:space="preserve"> finansiškai remti smulkųjį ir vidutinį verslą Rietav</w:t>
      </w:r>
      <w:r>
        <w:rPr>
          <w:shd w:val="clear" w:color="auto" w:fill="FFFFFF"/>
          <w:lang w:val="lt-LT"/>
        </w:rPr>
        <w:t xml:space="preserve">o savivaldybėje – pradedančias </w:t>
      </w:r>
      <w:r w:rsidR="00EE0478">
        <w:rPr>
          <w:shd w:val="clear" w:color="auto" w:fill="FFFFFF"/>
          <w:lang w:val="lt-LT"/>
        </w:rPr>
        <w:t>i</w:t>
      </w:r>
      <w:r>
        <w:rPr>
          <w:shd w:val="clear" w:color="auto" w:fill="FFFFFF"/>
          <w:lang w:val="lt-LT"/>
        </w:rPr>
        <w:t>r</w:t>
      </w:r>
      <w:r w:rsidR="00EE0478">
        <w:rPr>
          <w:shd w:val="clear" w:color="auto" w:fill="FFFFFF"/>
          <w:lang w:val="lt-LT"/>
        </w:rPr>
        <w:t xml:space="preserve"> veikiančias smulkiojo verslo įmones ir tuo prisidėti sprendžiant gyventojų užimtumo problemą.</w:t>
      </w:r>
    </w:p>
    <w:p w:rsidR="00EE0478" w:rsidRDefault="00EE0478" w:rsidP="00EE0478">
      <w:pPr>
        <w:pStyle w:val="prastasistinklapis2"/>
        <w:spacing w:before="0" w:after="0"/>
        <w:ind w:firstLine="993"/>
        <w:jc w:val="both"/>
        <w:rPr>
          <w:shd w:val="clear" w:color="auto" w:fill="FFFFFF"/>
          <w:lang w:val="lt-LT"/>
        </w:rPr>
      </w:pPr>
    </w:p>
    <w:p w:rsidR="00EE0478" w:rsidRDefault="00EE0478" w:rsidP="00E97ECA">
      <w:pPr>
        <w:pStyle w:val="prastasistinklapis2"/>
        <w:spacing w:before="0" w:after="0"/>
        <w:jc w:val="center"/>
        <w:rPr>
          <w:b/>
          <w:bCs/>
          <w:i/>
          <w:shd w:val="clear" w:color="auto" w:fill="FFFFFF"/>
          <w:lang w:val="lt-LT"/>
        </w:rPr>
      </w:pPr>
      <w:r>
        <w:rPr>
          <w:noProof/>
          <w:shd w:val="clear" w:color="auto" w:fill="FFFFFF"/>
          <w:lang w:val="lt-LT" w:eastAsia="lt-LT"/>
        </w:rPr>
        <w:drawing>
          <wp:inline distT="0" distB="0" distL="0" distR="0">
            <wp:extent cx="5102529" cy="2910177"/>
            <wp:effectExtent l="19050" t="0" r="21921" b="4473"/>
            <wp:docPr id="36" name="Diagrama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E0478" w:rsidRDefault="00EE0478" w:rsidP="00E97ECA">
      <w:pPr>
        <w:pStyle w:val="prastasistinklapis2"/>
        <w:spacing w:before="0" w:after="0"/>
        <w:jc w:val="center"/>
        <w:rPr>
          <w:b/>
          <w:bCs/>
          <w:i/>
          <w:shd w:val="clear" w:color="auto" w:fill="FFFFFF"/>
          <w:lang w:val="lt-LT"/>
        </w:rPr>
      </w:pPr>
    </w:p>
    <w:p w:rsidR="00EE0478" w:rsidRDefault="00EE0478" w:rsidP="00EE0478">
      <w:pPr>
        <w:pStyle w:val="prastasistinklapis2"/>
        <w:spacing w:before="0" w:after="0"/>
        <w:jc w:val="center"/>
        <w:rPr>
          <w:b/>
          <w:bCs/>
          <w:shd w:val="clear" w:color="auto" w:fill="FFFFFF"/>
          <w:lang w:val="lt-LT"/>
        </w:rPr>
      </w:pPr>
      <w:r>
        <w:rPr>
          <w:b/>
          <w:bCs/>
          <w:shd w:val="clear" w:color="auto" w:fill="FFFFFF"/>
          <w:lang w:val="lt-LT"/>
        </w:rPr>
        <w:t>PARAMA ŽEMĖS ŪKIUI</w:t>
      </w:r>
    </w:p>
    <w:p w:rsidR="00EE0478" w:rsidRDefault="00EE0478" w:rsidP="00EE0478">
      <w:pPr>
        <w:pStyle w:val="prastasistinklapis2"/>
        <w:spacing w:before="0" w:after="0"/>
        <w:ind w:firstLine="993"/>
        <w:jc w:val="center"/>
        <w:rPr>
          <w:b/>
          <w:bCs/>
          <w:shd w:val="clear" w:color="auto" w:fill="FFFFFF"/>
          <w:lang w:val="lt-LT"/>
        </w:rPr>
      </w:pPr>
    </w:p>
    <w:p w:rsidR="00EE0478" w:rsidRDefault="00095D4D" w:rsidP="00A01088">
      <w:pPr>
        <w:pStyle w:val="prastasistinklapis2"/>
        <w:spacing w:before="0" w:after="0"/>
        <w:ind w:firstLine="993"/>
        <w:rPr>
          <w:shd w:val="clear" w:color="auto" w:fill="FFFFFF"/>
          <w:lang w:val="lt-LT"/>
        </w:rPr>
      </w:pPr>
      <w:r>
        <w:rPr>
          <w:shd w:val="clear" w:color="auto" w:fill="FFFFFF"/>
          <w:lang w:val="lt-LT"/>
        </w:rPr>
        <w:t xml:space="preserve">Pagrindiniai </w:t>
      </w:r>
      <w:r w:rsidR="00EE0478">
        <w:rPr>
          <w:shd w:val="clear" w:color="auto" w:fill="FFFFFF"/>
          <w:lang w:val="lt-LT"/>
        </w:rPr>
        <w:t>Žemės ūkio  rėmimo programos</w:t>
      </w:r>
      <w:r>
        <w:rPr>
          <w:shd w:val="clear" w:color="auto" w:fill="FFFFFF"/>
          <w:lang w:val="lt-LT"/>
        </w:rPr>
        <w:t xml:space="preserve"> tikslai –</w:t>
      </w:r>
      <w:r w:rsidR="00EE0478">
        <w:rPr>
          <w:shd w:val="clear" w:color="auto" w:fill="FFFFFF"/>
          <w:lang w:val="lt-LT"/>
        </w:rPr>
        <w:t xml:space="preserve"> </w:t>
      </w:r>
      <w:r>
        <w:rPr>
          <w:shd w:val="clear" w:color="auto" w:fill="FFFFFF"/>
          <w:lang w:val="lt-LT"/>
        </w:rPr>
        <w:t xml:space="preserve">finansiškai </w:t>
      </w:r>
      <w:r w:rsidR="00EE0478">
        <w:rPr>
          <w:shd w:val="clear" w:color="auto" w:fill="FFFFFF"/>
          <w:lang w:val="lt-LT"/>
        </w:rPr>
        <w:t>paremti kaimo gyventojus ir žemės ūkio įmon</w:t>
      </w:r>
      <w:r>
        <w:rPr>
          <w:shd w:val="clear" w:color="auto" w:fill="FFFFFF"/>
          <w:lang w:val="lt-LT"/>
        </w:rPr>
        <w:t>e</w:t>
      </w:r>
      <w:r w:rsidR="00EE0478">
        <w:rPr>
          <w:shd w:val="clear" w:color="auto" w:fill="FFFFFF"/>
          <w:lang w:val="lt-LT"/>
        </w:rPr>
        <w:t>s, kad jie galėtų didinti savo ūkių ekonominį gyvybingumą, greičiau prisitaikyt</w:t>
      </w:r>
      <w:r>
        <w:rPr>
          <w:shd w:val="clear" w:color="auto" w:fill="FFFFFF"/>
          <w:lang w:val="lt-LT"/>
        </w:rPr>
        <w:t>ų</w:t>
      </w:r>
      <w:r w:rsidR="00EE0478">
        <w:rPr>
          <w:shd w:val="clear" w:color="auto" w:fill="FFFFFF"/>
          <w:lang w:val="lt-LT"/>
        </w:rPr>
        <w:t xml:space="preserve"> prie naujų technologijų diegimo žemės ūkyje.</w:t>
      </w:r>
    </w:p>
    <w:p w:rsidR="00E97ECA" w:rsidRPr="00630125" w:rsidRDefault="00E97ECA" w:rsidP="00A01088">
      <w:pPr>
        <w:pStyle w:val="prastasistinklapis2"/>
        <w:spacing w:before="0" w:after="0"/>
        <w:ind w:firstLine="993"/>
        <w:rPr>
          <w:i/>
          <w:shd w:val="clear" w:color="auto" w:fill="FFFFFF"/>
          <w:lang w:val="lt-LT"/>
        </w:rPr>
      </w:pPr>
    </w:p>
    <w:p w:rsidR="00E97ECA" w:rsidRPr="00630125" w:rsidRDefault="00E97ECA" w:rsidP="00E97ECA">
      <w:pPr>
        <w:pStyle w:val="prastasistinklapis2"/>
        <w:spacing w:before="0" w:after="0"/>
        <w:ind w:firstLine="993"/>
        <w:jc w:val="both"/>
        <w:rPr>
          <w:i/>
          <w:noProof/>
          <w:shd w:val="clear" w:color="auto" w:fill="FFFFFF"/>
          <w:lang w:val="lt-LT" w:eastAsia="lt-LT"/>
        </w:rPr>
      </w:pPr>
    </w:p>
    <w:p w:rsidR="00E97ECA" w:rsidRPr="00630125" w:rsidRDefault="00EE0478" w:rsidP="00E97ECA">
      <w:pPr>
        <w:pStyle w:val="prastasistinklapis2"/>
        <w:spacing w:before="0" w:after="0"/>
        <w:ind w:firstLine="993"/>
        <w:jc w:val="both"/>
        <w:rPr>
          <w:i/>
          <w:shd w:val="clear" w:color="auto" w:fill="FFFFFF"/>
          <w:lang w:val="lt-LT"/>
        </w:rPr>
      </w:pPr>
      <w:r>
        <w:rPr>
          <w:noProof/>
          <w:shd w:val="clear" w:color="auto" w:fill="FFFFFF"/>
          <w:lang w:val="lt-LT" w:eastAsia="lt-LT"/>
        </w:rPr>
        <w:drawing>
          <wp:inline distT="0" distB="0" distL="0" distR="0">
            <wp:extent cx="4962967" cy="3415886"/>
            <wp:effectExtent l="19050" t="0" r="28133" b="0"/>
            <wp:docPr id="39" name="Diagrama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97ECA" w:rsidRPr="00630125" w:rsidRDefault="00E97ECA" w:rsidP="00E97ECA">
      <w:pPr>
        <w:pStyle w:val="prastasistinklapis2"/>
        <w:spacing w:before="0" w:after="0"/>
        <w:ind w:firstLine="993"/>
        <w:jc w:val="both"/>
        <w:rPr>
          <w:i/>
          <w:shd w:val="clear" w:color="auto" w:fill="FFFFFF"/>
        </w:rPr>
      </w:pPr>
    </w:p>
    <w:p w:rsidR="00E97ECA" w:rsidRPr="00630125" w:rsidRDefault="00E97ECA" w:rsidP="00E97ECA">
      <w:pPr>
        <w:pStyle w:val="Pagrindinistekstas"/>
        <w:ind w:left="720"/>
        <w:jc w:val="both"/>
        <w:rPr>
          <w:bCs/>
          <w:i/>
          <w:sz w:val="24"/>
          <w:szCs w:val="24"/>
        </w:rPr>
      </w:pPr>
      <w:r w:rsidRPr="00630125">
        <w:rPr>
          <w:bCs/>
          <w:i/>
          <w:sz w:val="24"/>
          <w:szCs w:val="24"/>
        </w:rPr>
        <w:t xml:space="preserve">                         </w:t>
      </w:r>
    </w:p>
    <w:p w:rsidR="00E97ECA" w:rsidRPr="00095D4D" w:rsidRDefault="00E97ECA" w:rsidP="00095D4D">
      <w:pPr>
        <w:pStyle w:val="Pagrindinistekstas"/>
        <w:ind w:right="0"/>
        <w:rPr>
          <w:sz w:val="24"/>
          <w:szCs w:val="24"/>
        </w:rPr>
      </w:pPr>
      <w:r w:rsidRPr="00095D4D">
        <w:rPr>
          <w:sz w:val="24"/>
          <w:szCs w:val="24"/>
        </w:rPr>
        <w:t>VALSTYBINĖS ŽEMĖS NUOMOS MOKESČIO ADMINISTRAVIMAS</w:t>
      </w:r>
    </w:p>
    <w:p w:rsidR="00E97ECA" w:rsidRPr="00630125" w:rsidRDefault="00E97ECA" w:rsidP="00E97ECA">
      <w:pPr>
        <w:pStyle w:val="Pagrindinistekstas3"/>
        <w:rPr>
          <w:i/>
        </w:rPr>
      </w:pPr>
    </w:p>
    <w:p w:rsidR="007A56F0" w:rsidRPr="007A56F0" w:rsidRDefault="007A56F0" w:rsidP="007A56F0">
      <w:pPr>
        <w:pStyle w:val="Pagrindinistekstas3"/>
        <w:rPr>
          <w:sz w:val="24"/>
          <w:szCs w:val="24"/>
        </w:rPr>
      </w:pPr>
      <w:r w:rsidRPr="007A56F0">
        <w:rPr>
          <w:sz w:val="24"/>
          <w:szCs w:val="24"/>
        </w:rPr>
        <w:t>Juridiniams ir fiziniams asmenims išnuomota valstybinės žemės 2013 – 2015 metais</w:t>
      </w:r>
    </w:p>
    <w:p w:rsidR="007A56F0" w:rsidRDefault="007A56F0" w:rsidP="007A56F0">
      <w:pPr>
        <w:pStyle w:val="Pagrindinistekstas3"/>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76"/>
        <w:gridCol w:w="1134"/>
        <w:gridCol w:w="1134"/>
        <w:gridCol w:w="1417"/>
        <w:gridCol w:w="1418"/>
      </w:tblGrid>
      <w:tr w:rsidR="007A56F0" w:rsidTr="007A56F0">
        <w:trPr>
          <w:cantSplit/>
        </w:trPr>
        <w:tc>
          <w:tcPr>
            <w:tcW w:w="3227" w:type="dxa"/>
            <w:vMerge w:val="restart"/>
            <w:vAlign w:val="center"/>
          </w:tcPr>
          <w:p w:rsidR="007A56F0" w:rsidRPr="007A56F0" w:rsidRDefault="007A56F0" w:rsidP="007A56F0">
            <w:pPr>
              <w:pStyle w:val="Pagrindinistekstas"/>
              <w:ind w:right="0"/>
              <w:jc w:val="left"/>
              <w:rPr>
                <w:b w:val="0"/>
                <w:sz w:val="24"/>
                <w:szCs w:val="24"/>
              </w:rPr>
            </w:pPr>
            <w:r w:rsidRPr="007A56F0">
              <w:rPr>
                <w:b w:val="0"/>
                <w:sz w:val="24"/>
                <w:szCs w:val="24"/>
              </w:rPr>
              <w:t>Išnuomota  valstybinė žemė, kuriai skaičiuojamas nuomos mokestis</w:t>
            </w:r>
          </w:p>
        </w:tc>
        <w:tc>
          <w:tcPr>
            <w:tcW w:w="1276" w:type="dxa"/>
            <w:vMerge w:val="restart"/>
            <w:vAlign w:val="center"/>
          </w:tcPr>
          <w:p w:rsidR="007A56F0" w:rsidRPr="007A56F0" w:rsidRDefault="007A56F0" w:rsidP="007A56F0">
            <w:pPr>
              <w:pStyle w:val="Pagrindinistekstas"/>
              <w:ind w:right="0"/>
              <w:jc w:val="left"/>
              <w:rPr>
                <w:b w:val="0"/>
                <w:sz w:val="24"/>
                <w:szCs w:val="24"/>
              </w:rPr>
            </w:pPr>
            <w:r w:rsidRPr="007A56F0">
              <w:rPr>
                <w:b w:val="0"/>
                <w:sz w:val="24"/>
                <w:szCs w:val="24"/>
              </w:rPr>
              <w:t xml:space="preserve">2013 </w:t>
            </w:r>
          </w:p>
          <w:p w:rsidR="007A56F0" w:rsidRPr="007A56F0" w:rsidRDefault="007A56F0" w:rsidP="007A56F0">
            <w:pPr>
              <w:pStyle w:val="Pagrindinistekstas"/>
              <w:ind w:right="0"/>
              <w:jc w:val="left"/>
              <w:rPr>
                <w:b w:val="0"/>
                <w:sz w:val="24"/>
                <w:szCs w:val="24"/>
              </w:rPr>
            </w:pPr>
            <w:r w:rsidRPr="007A56F0">
              <w:rPr>
                <w:b w:val="0"/>
                <w:sz w:val="24"/>
                <w:szCs w:val="24"/>
              </w:rPr>
              <w:t>metai</w:t>
            </w:r>
          </w:p>
        </w:tc>
        <w:tc>
          <w:tcPr>
            <w:tcW w:w="1134" w:type="dxa"/>
            <w:vMerge w:val="restart"/>
            <w:vAlign w:val="center"/>
          </w:tcPr>
          <w:p w:rsidR="007A56F0" w:rsidRPr="007A56F0" w:rsidRDefault="007A56F0" w:rsidP="007A56F0">
            <w:pPr>
              <w:pStyle w:val="Pagrindinistekstas"/>
              <w:ind w:right="0"/>
              <w:jc w:val="left"/>
              <w:rPr>
                <w:b w:val="0"/>
                <w:sz w:val="24"/>
                <w:szCs w:val="24"/>
              </w:rPr>
            </w:pPr>
            <w:r w:rsidRPr="007A56F0">
              <w:rPr>
                <w:b w:val="0"/>
                <w:sz w:val="24"/>
                <w:szCs w:val="24"/>
              </w:rPr>
              <w:t>2014 metai</w:t>
            </w:r>
          </w:p>
        </w:tc>
        <w:tc>
          <w:tcPr>
            <w:tcW w:w="1134" w:type="dxa"/>
            <w:vMerge w:val="restart"/>
            <w:vAlign w:val="center"/>
          </w:tcPr>
          <w:p w:rsidR="007A56F0" w:rsidRPr="007A56F0" w:rsidRDefault="007A56F0" w:rsidP="007A56F0">
            <w:pPr>
              <w:pStyle w:val="Pagrindinistekstas"/>
              <w:ind w:right="0"/>
              <w:jc w:val="left"/>
              <w:rPr>
                <w:b w:val="0"/>
                <w:sz w:val="24"/>
                <w:szCs w:val="24"/>
              </w:rPr>
            </w:pPr>
            <w:r w:rsidRPr="007A56F0">
              <w:rPr>
                <w:b w:val="0"/>
                <w:sz w:val="24"/>
                <w:szCs w:val="24"/>
              </w:rPr>
              <w:t>2015 metai</w:t>
            </w:r>
          </w:p>
        </w:tc>
        <w:tc>
          <w:tcPr>
            <w:tcW w:w="2835" w:type="dxa"/>
            <w:gridSpan w:val="2"/>
            <w:vAlign w:val="center"/>
          </w:tcPr>
          <w:p w:rsidR="007A56F0" w:rsidRPr="007A56F0" w:rsidRDefault="007A56F0" w:rsidP="007A56F0">
            <w:pPr>
              <w:pStyle w:val="Pagrindinistekstas"/>
              <w:ind w:right="0"/>
              <w:jc w:val="left"/>
              <w:rPr>
                <w:b w:val="0"/>
                <w:sz w:val="24"/>
                <w:szCs w:val="24"/>
              </w:rPr>
            </w:pPr>
            <w:r w:rsidRPr="007A56F0">
              <w:rPr>
                <w:b w:val="0"/>
                <w:sz w:val="24"/>
                <w:szCs w:val="24"/>
              </w:rPr>
              <w:t xml:space="preserve"> 2015 m. lyginant su:</w:t>
            </w:r>
          </w:p>
        </w:tc>
      </w:tr>
      <w:tr w:rsidR="007A56F0" w:rsidTr="007A56F0">
        <w:trPr>
          <w:cantSplit/>
        </w:trPr>
        <w:tc>
          <w:tcPr>
            <w:tcW w:w="3227" w:type="dxa"/>
            <w:vMerge/>
          </w:tcPr>
          <w:p w:rsidR="007A56F0" w:rsidRPr="007A56F0" w:rsidRDefault="007A56F0" w:rsidP="007A56F0">
            <w:pPr>
              <w:pStyle w:val="Pagrindinistekstas"/>
              <w:ind w:right="0"/>
              <w:jc w:val="left"/>
              <w:rPr>
                <w:b w:val="0"/>
                <w:sz w:val="24"/>
                <w:szCs w:val="24"/>
              </w:rPr>
            </w:pPr>
          </w:p>
        </w:tc>
        <w:tc>
          <w:tcPr>
            <w:tcW w:w="1276" w:type="dxa"/>
            <w:vMerge/>
            <w:vAlign w:val="center"/>
          </w:tcPr>
          <w:p w:rsidR="007A56F0" w:rsidRPr="007A56F0" w:rsidRDefault="007A56F0" w:rsidP="007A56F0">
            <w:pPr>
              <w:pStyle w:val="Pagrindinistekstas"/>
              <w:ind w:right="0"/>
              <w:jc w:val="left"/>
              <w:rPr>
                <w:b w:val="0"/>
                <w:sz w:val="24"/>
                <w:szCs w:val="24"/>
              </w:rPr>
            </w:pPr>
          </w:p>
        </w:tc>
        <w:tc>
          <w:tcPr>
            <w:tcW w:w="1134" w:type="dxa"/>
            <w:vMerge/>
            <w:vAlign w:val="center"/>
          </w:tcPr>
          <w:p w:rsidR="007A56F0" w:rsidRPr="007A56F0" w:rsidRDefault="007A56F0" w:rsidP="007A56F0">
            <w:pPr>
              <w:pStyle w:val="Pagrindinistekstas"/>
              <w:ind w:right="0"/>
              <w:jc w:val="left"/>
              <w:rPr>
                <w:b w:val="0"/>
                <w:sz w:val="24"/>
                <w:szCs w:val="24"/>
              </w:rPr>
            </w:pPr>
          </w:p>
        </w:tc>
        <w:tc>
          <w:tcPr>
            <w:tcW w:w="1134" w:type="dxa"/>
            <w:vMerge/>
            <w:vAlign w:val="center"/>
          </w:tcPr>
          <w:p w:rsidR="007A56F0" w:rsidRPr="007A56F0" w:rsidRDefault="007A56F0" w:rsidP="007A56F0">
            <w:pPr>
              <w:pStyle w:val="Pagrindinistekstas"/>
              <w:ind w:right="0"/>
              <w:jc w:val="left"/>
              <w:rPr>
                <w:b w:val="0"/>
                <w:sz w:val="24"/>
                <w:szCs w:val="24"/>
              </w:rPr>
            </w:pPr>
          </w:p>
        </w:tc>
        <w:tc>
          <w:tcPr>
            <w:tcW w:w="1417" w:type="dxa"/>
            <w:vAlign w:val="center"/>
          </w:tcPr>
          <w:p w:rsidR="007A56F0" w:rsidRPr="007A56F0" w:rsidRDefault="007A56F0" w:rsidP="007A56F0">
            <w:pPr>
              <w:pStyle w:val="Pagrindinistekstas"/>
              <w:ind w:right="0"/>
              <w:jc w:val="left"/>
              <w:rPr>
                <w:b w:val="0"/>
                <w:sz w:val="24"/>
                <w:szCs w:val="24"/>
              </w:rPr>
            </w:pPr>
            <w:r w:rsidRPr="007A56F0">
              <w:rPr>
                <w:b w:val="0"/>
                <w:sz w:val="24"/>
                <w:szCs w:val="24"/>
              </w:rPr>
              <w:t>2013 m. (+,-), proc.</w:t>
            </w:r>
          </w:p>
        </w:tc>
        <w:tc>
          <w:tcPr>
            <w:tcW w:w="1418" w:type="dxa"/>
            <w:vAlign w:val="center"/>
          </w:tcPr>
          <w:p w:rsidR="007A56F0" w:rsidRPr="007A56F0" w:rsidRDefault="007A56F0" w:rsidP="007A56F0">
            <w:pPr>
              <w:pStyle w:val="Pagrindinistekstas"/>
              <w:ind w:right="0"/>
              <w:jc w:val="left"/>
              <w:rPr>
                <w:b w:val="0"/>
                <w:sz w:val="24"/>
                <w:szCs w:val="24"/>
              </w:rPr>
            </w:pPr>
            <w:r w:rsidRPr="007A56F0">
              <w:rPr>
                <w:b w:val="0"/>
                <w:sz w:val="24"/>
                <w:szCs w:val="24"/>
              </w:rPr>
              <w:t>2014  m. (+,-), proc.</w:t>
            </w:r>
          </w:p>
        </w:tc>
      </w:tr>
      <w:tr w:rsidR="007A56F0" w:rsidTr="007A56F0">
        <w:tc>
          <w:tcPr>
            <w:tcW w:w="3227" w:type="dxa"/>
          </w:tcPr>
          <w:p w:rsidR="007A56F0" w:rsidRPr="007A56F0" w:rsidRDefault="007A56F0" w:rsidP="007A56F0">
            <w:pPr>
              <w:ind w:firstLine="0"/>
              <w:jc w:val="left"/>
              <w:rPr>
                <w:szCs w:val="24"/>
              </w:rPr>
            </w:pPr>
            <w:r w:rsidRPr="007A56F0">
              <w:rPr>
                <w:szCs w:val="24"/>
              </w:rPr>
              <w:t>Žemės sklypų skaičius</w:t>
            </w:r>
          </w:p>
        </w:tc>
        <w:tc>
          <w:tcPr>
            <w:tcW w:w="1276" w:type="dxa"/>
          </w:tcPr>
          <w:p w:rsidR="007A56F0" w:rsidRPr="007A56F0" w:rsidRDefault="007A56F0" w:rsidP="007A56F0">
            <w:pPr>
              <w:ind w:firstLine="0"/>
              <w:jc w:val="left"/>
              <w:rPr>
                <w:szCs w:val="24"/>
              </w:rPr>
            </w:pPr>
            <w:r w:rsidRPr="007A56F0">
              <w:rPr>
                <w:szCs w:val="24"/>
              </w:rPr>
              <w:t>1118</w:t>
            </w:r>
          </w:p>
        </w:tc>
        <w:tc>
          <w:tcPr>
            <w:tcW w:w="1134" w:type="dxa"/>
          </w:tcPr>
          <w:p w:rsidR="007A56F0" w:rsidRPr="007A56F0" w:rsidRDefault="007A56F0" w:rsidP="007A56F0">
            <w:pPr>
              <w:ind w:firstLine="0"/>
              <w:jc w:val="left"/>
              <w:rPr>
                <w:szCs w:val="24"/>
              </w:rPr>
            </w:pPr>
            <w:r w:rsidRPr="007A56F0">
              <w:rPr>
                <w:szCs w:val="24"/>
              </w:rPr>
              <w:t>939</w:t>
            </w:r>
          </w:p>
        </w:tc>
        <w:tc>
          <w:tcPr>
            <w:tcW w:w="1134" w:type="dxa"/>
          </w:tcPr>
          <w:p w:rsidR="007A56F0" w:rsidRPr="007A56F0" w:rsidRDefault="007A56F0" w:rsidP="007A56F0">
            <w:pPr>
              <w:ind w:firstLine="0"/>
              <w:jc w:val="left"/>
              <w:rPr>
                <w:szCs w:val="24"/>
              </w:rPr>
            </w:pPr>
            <w:r w:rsidRPr="007A56F0">
              <w:rPr>
                <w:szCs w:val="24"/>
              </w:rPr>
              <w:t>865</w:t>
            </w:r>
          </w:p>
        </w:tc>
        <w:tc>
          <w:tcPr>
            <w:tcW w:w="1417" w:type="dxa"/>
          </w:tcPr>
          <w:p w:rsidR="007A56F0" w:rsidRPr="007A56F0" w:rsidRDefault="007A56F0" w:rsidP="007A56F0">
            <w:pPr>
              <w:ind w:firstLine="0"/>
              <w:jc w:val="left"/>
              <w:rPr>
                <w:szCs w:val="24"/>
              </w:rPr>
            </w:pPr>
            <w:r w:rsidRPr="007A56F0">
              <w:rPr>
                <w:szCs w:val="24"/>
              </w:rPr>
              <w:t>-22,6</w:t>
            </w:r>
          </w:p>
        </w:tc>
        <w:tc>
          <w:tcPr>
            <w:tcW w:w="1418" w:type="dxa"/>
          </w:tcPr>
          <w:p w:rsidR="007A56F0" w:rsidRPr="007A56F0" w:rsidRDefault="007A56F0" w:rsidP="007A56F0">
            <w:pPr>
              <w:pStyle w:val="Pagrindinistekstas"/>
              <w:ind w:right="0"/>
              <w:jc w:val="left"/>
              <w:rPr>
                <w:b w:val="0"/>
                <w:sz w:val="24"/>
                <w:szCs w:val="24"/>
              </w:rPr>
            </w:pPr>
            <w:r w:rsidRPr="007A56F0">
              <w:rPr>
                <w:b w:val="0"/>
                <w:sz w:val="24"/>
                <w:szCs w:val="24"/>
              </w:rPr>
              <w:t>-7,9</w:t>
            </w:r>
          </w:p>
        </w:tc>
      </w:tr>
      <w:tr w:rsidR="007A56F0" w:rsidTr="007A56F0">
        <w:tc>
          <w:tcPr>
            <w:tcW w:w="3227" w:type="dxa"/>
          </w:tcPr>
          <w:p w:rsidR="007A56F0" w:rsidRPr="007A56F0" w:rsidRDefault="007A56F0" w:rsidP="007A56F0">
            <w:pPr>
              <w:ind w:firstLine="0"/>
              <w:jc w:val="left"/>
              <w:rPr>
                <w:szCs w:val="24"/>
              </w:rPr>
            </w:pPr>
            <w:r w:rsidRPr="007A56F0">
              <w:rPr>
                <w:szCs w:val="24"/>
              </w:rPr>
              <w:t>Išnuomotos žemės plotas (ha)</w:t>
            </w:r>
          </w:p>
        </w:tc>
        <w:tc>
          <w:tcPr>
            <w:tcW w:w="1276" w:type="dxa"/>
          </w:tcPr>
          <w:p w:rsidR="007A56F0" w:rsidRPr="007A56F0" w:rsidRDefault="007A56F0" w:rsidP="007A56F0">
            <w:pPr>
              <w:ind w:firstLine="0"/>
              <w:jc w:val="left"/>
              <w:rPr>
                <w:szCs w:val="24"/>
              </w:rPr>
            </w:pPr>
            <w:r w:rsidRPr="007A56F0">
              <w:rPr>
                <w:szCs w:val="24"/>
              </w:rPr>
              <w:t>1916,24</w:t>
            </w:r>
          </w:p>
        </w:tc>
        <w:tc>
          <w:tcPr>
            <w:tcW w:w="1134" w:type="dxa"/>
          </w:tcPr>
          <w:p w:rsidR="007A56F0" w:rsidRPr="007A56F0" w:rsidRDefault="007A56F0" w:rsidP="007A56F0">
            <w:pPr>
              <w:ind w:firstLine="0"/>
              <w:jc w:val="left"/>
              <w:rPr>
                <w:szCs w:val="24"/>
              </w:rPr>
            </w:pPr>
            <w:r w:rsidRPr="007A56F0">
              <w:rPr>
                <w:szCs w:val="24"/>
              </w:rPr>
              <w:t>918,56</w:t>
            </w:r>
          </w:p>
        </w:tc>
        <w:tc>
          <w:tcPr>
            <w:tcW w:w="1134" w:type="dxa"/>
          </w:tcPr>
          <w:p w:rsidR="007A56F0" w:rsidRPr="007A56F0" w:rsidRDefault="007A56F0" w:rsidP="007A56F0">
            <w:pPr>
              <w:ind w:firstLine="0"/>
              <w:jc w:val="left"/>
              <w:rPr>
                <w:szCs w:val="24"/>
              </w:rPr>
            </w:pPr>
            <w:r w:rsidRPr="007A56F0">
              <w:rPr>
                <w:szCs w:val="24"/>
              </w:rPr>
              <w:t>888,19</w:t>
            </w:r>
          </w:p>
        </w:tc>
        <w:tc>
          <w:tcPr>
            <w:tcW w:w="1417" w:type="dxa"/>
          </w:tcPr>
          <w:p w:rsidR="007A56F0" w:rsidRPr="007A56F0" w:rsidRDefault="007A56F0" w:rsidP="007A56F0">
            <w:pPr>
              <w:ind w:firstLine="0"/>
              <w:jc w:val="left"/>
              <w:rPr>
                <w:szCs w:val="24"/>
              </w:rPr>
            </w:pPr>
            <w:r w:rsidRPr="007A56F0">
              <w:rPr>
                <w:szCs w:val="24"/>
              </w:rPr>
              <w:t>-53,6</w:t>
            </w:r>
          </w:p>
        </w:tc>
        <w:tc>
          <w:tcPr>
            <w:tcW w:w="1418" w:type="dxa"/>
          </w:tcPr>
          <w:p w:rsidR="007A56F0" w:rsidRPr="007A56F0" w:rsidRDefault="007A56F0" w:rsidP="007A56F0">
            <w:pPr>
              <w:pStyle w:val="Pagrindinistekstas"/>
              <w:ind w:right="0"/>
              <w:jc w:val="left"/>
              <w:rPr>
                <w:b w:val="0"/>
                <w:sz w:val="24"/>
                <w:szCs w:val="24"/>
              </w:rPr>
            </w:pPr>
            <w:r w:rsidRPr="007A56F0">
              <w:rPr>
                <w:b w:val="0"/>
                <w:sz w:val="24"/>
                <w:szCs w:val="24"/>
              </w:rPr>
              <w:t>-3,3</w:t>
            </w:r>
          </w:p>
        </w:tc>
      </w:tr>
    </w:tbl>
    <w:p w:rsidR="007A56F0" w:rsidRDefault="007A56F0" w:rsidP="007A56F0">
      <w:pPr>
        <w:pStyle w:val="Pagrindinistekstas"/>
        <w:ind w:firstLine="720"/>
        <w:rPr>
          <w:b w:val="0"/>
        </w:rPr>
      </w:pPr>
    </w:p>
    <w:p w:rsidR="007A56F0" w:rsidRPr="007A56F0" w:rsidRDefault="007A56F0" w:rsidP="00A01088">
      <w:pPr>
        <w:pStyle w:val="Pagrindinistekstas"/>
        <w:ind w:right="0" w:firstLine="720"/>
        <w:jc w:val="left"/>
        <w:rPr>
          <w:b w:val="0"/>
          <w:sz w:val="24"/>
          <w:szCs w:val="24"/>
        </w:rPr>
      </w:pPr>
      <w:r w:rsidRPr="007A56F0">
        <w:rPr>
          <w:b w:val="0"/>
          <w:sz w:val="24"/>
          <w:szCs w:val="24"/>
        </w:rPr>
        <w:t xml:space="preserve">Išnuomotos ir apmokestintos valstybinės žemės plotai, kurių nuomos sutartys įregistruotos Nekilnojamojo turto registre, sudaro 66,5 proc. visos nuomojamos valstybinės žemės, kita valstybinė žemė yra išnuomota asmenims sudarant trumpalaikes sutartis. </w:t>
      </w:r>
    </w:p>
    <w:p w:rsidR="00095D4D" w:rsidRDefault="007A56F0" w:rsidP="00A01088">
      <w:pPr>
        <w:pStyle w:val="Pagrindinistekstas"/>
        <w:ind w:right="0" w:firstLine="720"/>
        <w:jc w:val="left"/>
        <w:rPr>
          <w:b w:val="0"/>
          <w:sz w:val="24"/>
          <w:szCs w:val="24"/>
        </w:rPr>
      </w:pPr>
      <w:r w:rsidRPr="007A56F0">
        <w:rPr>
          <w:b w:val="0"/>
          <w:sz w:val="24"/>
          <w:szCs w:val="24"/>
        </w:rPr>
        <w:t>Rietavo savivaldybėje daugiausiai nuomojama žemės ūkio paskirties žemė, ji sudaro net 85,3 proc. viso nuomojamo ir apmokestinamo valstybinės žemės ploto.</w:t>
      </w:r>
    </w:p>
    <w:p w:rsidR="00095D4D" w:rsidRDefault="00095D4D" w:rsidP="00095D4D">
      <w:pPr>
        <w:pStyle w:val="Pagrindinistekstas"/>
        <w:ind w:right="0" w:firstLine="720"/>
        <w:jc w:val="left"/>
        <w:rPr>
          <w:b w:val="0"/>
          <w:sz w:val="24"/>
          <w:szCs w:val="24"/>
        </w:rPr>
      </w:pPr>
    </w:p>
    <w:p w:rsidR="007A56F0" w:rsidRPr="00095D4D" w:rsidRDefault="007A56F0" w:rsidP="00095D4D">
      <w:pPr>
        <w:pStyle w:val="Pagrindinistekstas"/>
        <w:ind w:right="0" w:firstLine="720"/>
        <w:jc w:val="left"/>
        <w:rPr>
          <w:sz w:val="24"/>
          <w:szCs w:val="24"/>
        </w:rPr>
      </w:pPr>
      <w:r w:rsidRPr="00095D4D">
        <w:rPr>
          <w:sz w:val="24"/>
          <w:szCs w:val="24"/>
        </w:rPr>
        <w:t>2013 – 2015 m. išnuomota ir apmokestinta valstybinė žemė Rietavo savivaldybėje</w:t>
      </w:r>
    </w:p>
    <w:p w:rsidR="007A56F0" w:rsidRPr="00095D4D" w:rsidRDefault="007A56F0" w:rsidP="007A56F0">
      <w:pPr>
        <w:pStyle w:val="Pagrindinistekstas"/>
        <w:ind w:right="0" w:firstLine="720"/>
        <w:rPr>
          <w:sz w:val="24"/>
          <w:szCs w:val="24"/>
        </w:rPr>
      </w:pPr>
    </w:p>
    <w:p w:rsidR="007A56F0" w:rsidRDefault="007A56F0" w:rsidP="007A56F0">
      <w:pPr>
        <w:pStyle w:val="Pagrindinistekstas"/>
        <w:ind w:firstLine="720"/>
        <w:rPr>
          <w:b w:val="0"/>
          <w:noProof/>
          <w:lang w:eastAsia="lt-LT"/>
        </w:rPr>
      </w:pPr>
      <w:r>
        <w:rPr>
          <w:b w:val="0"/>
          <w:noProof/>
          <w:lang w:eastAsia="lt-LT"/>
        </w:rPr>
        <w:lastRenderedPageBreak/>
        <w:drawing>
          <wp:inline distT="0" distB="0" distL="0" distR="0">
            <wp:extent cx="4289949" cy="2568271"/>
            <wp:effectExtent l="19050" t="0" r="15351" b="3479"/>
            <wp:docPr id="49"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97ECA" w:rsidRPr="00630125" w:rsidRDefault="00E97ECA" w:rsidP="00E97ECA">
      <w:pPr>
        <w:pStyle w:val="Pagrindinistekstas"/>
        <w:ind w:firstLine="72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8"/>
        <w:gridCol w:w="1559"/>
        <w:gridCol w:w="1418"/>
        <w:gridCol w:w="1559"/>
      </w:tblGrid>
      <w:tr w:rsidR="007A56F0" w:rsidRPr="007A56F0" w:rsidTr="007A56F0">
        <w:tc>
          <w:tcPr>
            <w:tcW w:w="4928" w:type="dxa"/>
            <w:vMerge w:val="restart"/>
          </w:tcPr>
          <w:p w:rsidR="007A56F0" w:rsidRPr="007A56F0" w:rsidRDefault="007A56F0" w:rsidP="007A56F0">
            <w:pPr>
              <w:pStyle w:val="Pagrindinistekstas"/>
              <w:ind w:right="0"/>
              <w:jc w:val="left"/>
              <w:rPr>
                <w:b w:val="0"/>
                <w:sz w:val="24"/>
                <w:szCs w:val="24"/>
              </w:rPr>
            </w:pPr>
            <w:r w:rsidRPr="007A56F0">
              <w:rPr>
                <w:b w:val="0"/>
                <w:sz w:val="24"/>
                <w:szCs w:val="24"/>
              </w:rPr>
              <w:t>Vienas žemės nuomos mokesčio mokėtojas išsinuomoja vidutiniškai valstybinės žemės ha</w:t>
            </w:r>
          </w:p>
        </w:tc>
        <w:tc>
          <w:tcPr>
            <w:tcW w:w="1559" w:type="dxa"/>
          </w:tcPr>
          <w:p w:rsidR="007A56F0" w:rsidRPr="007A56F0" w:rsidRDefault="007A56F0" w:rsidP="007A56F0">
            <w:pPr>
              <w:pStyle w:val="Pagrindinistekstas"/>
              <w:ind w:right="0"/>
              <w:jc w:val="left"/>
              <w:rPr>
                <w:b w:val="0"/>
                <w:sz w:val="24"/>
                <w:szCs w:val="24"/>
              </w:rPr>
            </w:pPr>
            <w:r w:rsidRPr="007A56F0">
              <w:rPr>
                <w:b w:val="0"/>
                <w:sz w:val="24"/>
                <w:szCs w:val="24"/>
              </w:rPr>
              <w:t>2013 m.</w:t>
            </w:r>
          </w:p>
        </w:tc>
        <w:tc>
          <w:tcPr>
            <w:tcW w:w="1418" w:type="dxa"/>
          </w:tcPr>
          <w:p w:rsidR="007A56F0" w:rsidRPr="007A56F0" w:rsidRDefault="007A56F0" w:rsidP="007A56F0">
            <w:pPr>
              <w:pStyle w:val="Pagrindinistekstas"/>
              <w:ind w:right="0"/>
              <w:jc w:val="left"/>
              <w:rPr>
                <w:b w:val="0"/>
                <w:sz w:val="24"/>
                <w:szCs w:val="24"/>
              </w:rPr>
            </w:pPr>
            <w:r w:rsidRPr="007A56F0">
              <w:rPr>
                <w:b w:val="0"/>
                <w:sz w:val="24"/>
                <w:szCs w:val="24"/>
              </w:rPr>
              <w:t>2014 m.</w:t>
            </w:r>
          </w:p>
        </w:tc>
        <w:tc>
          <w:tcPr>
            <w:tcW w:w="1559" w:type="dxa"/>
          </w:tcPr>
          <w:p w:rsidR="007A56F0" w:rsidRPr="007A56F0" w:rsidRDefault="007A56F0" w:rsidP="007A56F0">
            <w:pPr>
              <w:pStyle w:val="Pagrindinistekstas"/>
              <w:ind w:right="0"/>
              <w:jc w:val="left"/>
              <w:rPr>
                <w:b w:val="0"/>
                <w:sz w:val="24"/>
                <w:szCs w:val="24"/>
              </w:rPr>
            </w:pPr>
            <w:r w:rsidRPr="007A56F0">
              <w:rPr>
                <w:b w:val="0"/>
                <w:sz w:val="24"/>
                <w:szCs w:val="24"/>
              </w:rPr>
              <w:t>2015 m.</w:t>
            </w:r>
          </w:p>
        </w:tc>
      </w:tr>
      <w:tr w:rsidR="007A56F0" w:rsidRPr="007A56F0" w:rsidTr="007A56F0">
        <w:tc>
          <w:tcPr>
            <w:tcW w:w="4928" w:type="dxa"/>
            <w:vMerge/>
          </w:tcPr>
          <w:p w:rsidR="007A56F0" w:rsidRPr="007A56F0" w:rsidRDefault="007A56F0" w:rsidP="007A56F0">
            <w:pPr>
              <w:pStyle w:val="Pagrindinistekstas"/>
              <w:ind w:right="0"/>
              <w:jc w:val="left"/>
              <w:rPr>
                <w:b w:val="0"/>
                <w:sz w:val="24"/>
                <w:szCs w:val="24"/>
              </w:rPr>
            </w:pPr>
          </w:p>
        </w:tc>
        <w:tc>
          <w:tcPr>
            <w:tcW w:w="1559" w:type="dxa"/>
          </w:tcPr>
          <w:p w:rsidR="007A56F0" w:rsidRPr="007A56F0" w:rsidRDefault="007A56F0" w:rsidP="007A56F0">
            <w:pPr>
              <w:pStyle w:val="Pagrindinistekstas"/>
              <w:ind w:right="0"/>
              <w:jc w:val="left"/>
              <w:rPr>
                <w:b w:val="0"/>
                <w:sz w:val="24"/>
                <w:szCs w:val="24"/>
              </w:rPr>
            </w:pPr>
            <w:r w:rsidRPr="007A56F0">
              <w:rPr>
                <w:b w:val="0"/>
                <w:sz w:val="24"/>
                <w:szCs w:val="24"/>
              </w:rPr>
              <w:t>2,60</w:t>
            </w:r>
          </w:p>
        </w:tc>
        <w:tc>
          <w:tcPr>
            <w:tcW w:w="1418" w:type="dxa"/>
          </w:tcPr>
          <w:p w:rsidR="007A56F0" w:rsidRPr="007A56F0" w:rsidRDefault="007A56F0" w:rsidP="007A56F0">
            <w:pPr>
              <w:pStyle w:val="Pagrindinistekstas"/>
              <w:ind w:right="0"/>
              <w:jc w:val="left"/>
              <w:rPr>
                <w:b w:val="0"/>
                <w:sz w:val="24"/>
                <w:szCs w:val="24"/>
              </w:rPr>
            </w:pPr>
            <w:r w:rsidRPr="007A56F0">
              <w:rPr>
                <w:b w:val="0"/>
                <w:sz w:val="24"/>
                <w:szCs w:val="24"/>
              </w:rPr>
              <w:t>1,52</w:t>
            </w:r>
          </w:p>
        </w:tc>
        <w:tc>
          <w:tcPr>
            <w:tcW w:w="1559" w:type="dxa"/>
          </w:tcPr>
          <w:p w:rsidR="007A56F0" w:rsidRPr="007A56F0" w:rsidRDefault="007A56F0" w:rsidP="007A56F0">
            <w:pPr>
              <w:pStyle w:val="Pagrindinistekstas"/>
              <w:ind w:right="0"/>
              <w:jc w:val="left"/>
              <w:rPr>
                <w:b w:val="0"/>
                <w:sz w:val="24"/>
                <w:szCs w:val="24"/>
              </w:rPr>
            </w:pPr>
            <w:r w:rsidRPr="007A56F0">
              <w:rPr>
                <w:b w:val="0"/>
                <w:sz w:val="24"/>
                <w:szCs w:val="24"/>
              </w:rPr>
              <w:t>1,55</w:t>
            </w:r>
          </w:p>
        </w:tc>
      </w:tr>
    </w:tbl>
    <w:p w:rsidR="007A56F0" w:rsidRDefault="007A56F0" w:rsidP="007A56F0">
      <w:pPr>
        <w:pStyle w:val="Pagrindinistekstas"/>
        <w:ind w:right="0" w:firstLine="720"/>
        <w:jc w:val="left"/>
        <w:rPr>
          <w:b w:val="0"/>
          <w:sz w:val="24"/>
          <w:szCs w:val="24"/>
        </w:rPr>
      </w:pPr>
    </w:p>
    <w:p w:rsidR="007A56F0" w:rsidRPr="007A56F0" w:rsidRDefault="007A56F0" w:rsidP="007A56F0">
      <w:pPr>
        <w:pStyle w:val="Pagrindinistekstas"/>
        <w:ind w:right="0" w:firstLine="720"/>
        <w:jc w:val="left"/>
        <w:rPr>
          <w:b w:val="0"/>
          <w:sz w:val="24"/>
          <w:szCs w:val="24"/>
        </w:rPr>
      </w:pPr>
      <w:r w:rsidRPr="007A56F0">
        <w:rPr>
          <w:b w:val="0"/>
          <w:sz w:val="24"/>
          <w:szCs w:val="24"/>
        </w:rPr>
        <w:t xml:space="preserve">Valstybinės žemės </w:t>
      </w:r>
      <w:r w:rsidR="00C5458D">
        <w:rPr>
          <w:b w:val="0"/>
          <w:sz w:val="24"/>
          <w:szCs w:val="24"/>
        </w:rPr>
        <w:t xml:space="preserve">nuomos </w:t>
      </w:r>
      <w:r w:rsidRPr="007A56F0">
        <w:rPr>
          <w:b w:val="0"/>
          <w:sz w:val="24"/>
          <w:szCs w:val="24"/>
        </w:rPr>
        <w:t>mokesčio mokėtojų skaičius 2015 m., lyginant su 2014 metais</w:t>
      </w:r>
      <w:r w:rsidR="00095D4D">
        <w:rPr>
          <w:b w:val="0"/>
          <w:sz w:val="24"/>
          <w:szCs w:val="24"/>
        </w:rPr>
        <w:t>,</w:t>
      </w:r>
      <w:r w:rsidRPr="007A56F0">
        <w:rPr>
          <w:b w:val="0"/>
          <w:sz w:val="24"/>
          <w:szCs w:val="24"/>
        </w:rPr>
        <w:t xml:space="preserve"> sumažėjo vidutiniškai apie 5 proc. </w:t>
      </w:r>
    </w:p>
    <w:p w:rsidR="007A56F0" w:rsidRPr="007A56F0" w:rsidRDefault="007A56F0" w:rsidP="007A56F0">
      <w:pPr>
        <w:pStyle w:val="Pagrindinistekstas"/>
        <w:ind w:right="0" w:firstLine="720"/>
        <w:jc w:val="left"/>
        <w:rPr>
          <w:b w:val="0"/>
          <w:sz w:val="24"/>
          <w:szCs w:val="24"/>
        </w:rPr>
      </w:pPr>
    </w:p>
    <w:p w:rsidR="00E97ECA" w:rsidRPr="00630125" w:rsidRDefault="00E97ECA" w:rsidP="00E97ECA">
      <w:pPr>
        <w:pStyle w:val="Pagrindiniotekstotrauka"/>
        <w:rPr>
          <w:i/>
          <w:noProof/>
          <w:lang w:eastAsia="lt-LT"/>
        </w:rPr>
      </w:pPr>
    </w:p>
    <w:p w:rsidR="00E97ECA" w:rsidRPr="00630125" w:rsidRDefault="00E97ECA" w:rsidP="00E97ECA">
      <w:pPr>
        <w:jc w:val="center"/>
        <w:rPr>
          <w:b/>
          <w:i/>
        </w:rPr>
      </w:pPr>
    </w:p>
    <w:p w:rsidR="007A56F0" w:rsidRDefault="007A56F0" w:rsidP="007A56F0">
      <w:pPr>
        <w:jc w:val="center"/>
        <w:rPr>
          <w:b/>
        </w:rPr>
      </w:pPr>
      <w:r>
        <w:rPr>
          <w:b/>
        </w:rPr>
        <w:t>2013 – 2015 m. v</w:t>
      </w:r>
      <w:r w:rsidRPr="009D6DF3">
        <w:rPr>
          <w:b/>
        </w:rPr>
        <w:t xml:space="preserve">alstybinės žemės nuomos mokesčio </w:t>
      </w:r>
      <w:r>
        <w:rPr>
          <w:b/>
        </w:rPr>
        <w:t>surinkimas</w:t>
      </w:r>
      <w:r w:rsidRPr="009D6DF3">
        <w:rPr>
          <w:b/>
        </w:rPr>
        <w:t xml:space="preserve"> </w:t>
      </w:r>
    </w:p>
    <w:p w:rsidR="00E97ECA" w:rsidRPr="00630125" w:rsidRDefault="007A56F0" w:rsidP="00B06BE8">
      <w:pPr>
        <w:ind w:firstLine="0"/>
        <w:jc w:val="center"/>
        <w:rPr>
          <w:b/>
          <w:i/>
        </w:rPr>
      </w:pPr>
      <w:r>
        <w:rPr>
          <w:b/>
          <w:noProof/>
          <w:lang w:eastAsia="lt-LT"/>
        </w:rPr>
        <w:drawing>
          <wp:inline distT="0" distB="0" distL="0" distR="0">
            <wp:extent cx="4606871" cy="2451697"/>
            <wp:effectExtent l="12199" t="5118" r="8810" b="0"/>
            <wp:docPr id="58" name="Diagrama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97ECA" w:rsidRPr="00630125" w:rsidRDefault="00E97ECA" w:rsidP="00E97ECA">
      <w:pPr>
        <w:rPr>
          <w:i/>
          <w:noProof/>
          <w:lang w:eastAsia="lt-LT"/>
        </w:rPr>
      </w:pPr>
    </w:p>
    <w:p w:rsidR="007A56F0" w:rsidRDefault="007A56F0" w:rsidP="00A01088">
      <w:pPr>
        <w:pStyle w:val="Pagrindiniotekstotrauka"/>
        <w:jc w:val="left"/>
        <w:rPr>
          <w:noProof/>
          <w:lang w:eastAsia="lt-LT"/>
        </w:rPr>
      </w:pPr>
      <w:r>
        <w:rPr>
          <w:noProof/>
          <w:lang w:eastAsia="lt-LT"/>
        </w:rPr>
        <w:t>2015 metais valstybinės žemės nuomos mokesčio surinkta 5 proc. daugiau, lygin</w:t>
      </w:r>
      <w:r w:rsidR="00095D4D">
        <w:rPr>
          <w:noProof/>
          <w:lang w:eastAsia="lt-LT"/>
        </w:rPr>
        <w:t>ant</w:t>
      </w:r>
      <w:r>
        <w:rPr>
          <w:noProof/>
          <w:lang w:eastAsia="lt-LT"/>
        </w:rPr>
        <w:t xml:space="preserve"> su 2014 metais</w:t>
      </w:r>
      <w:r w:rsidR="00095D4D">
        <w:rPr>
          <w:noProof/>
          <w:lang w:eastAsia="lt-LT"/>
        </w:rPr>
        <w:t>,</w:t>
      </w:r>
      <w:r>
        <w:rPr>
          <w:noProof/>
          <w:lang w:eastAsia="lt-LT"/>
        </w:rPr>
        <w:t xml:space="preserve"> dėl mažėjančio apmokestinamo valstybinės žemės sklypų ploto </w:t>
      </w:r>
      <w:r w:rsidR="00095D4D">
        <w:rPr>
          <w:noProof/>
          <w:lang w:eastAsia="lt-LT"/>
        </w:rPr>
        <w:t xml:space="preserve">– </w:t>
      </w:r>
      <w:r>
        <w:rPr>
          <w:noProof/>
          <w:lang w:eastAsia="lt-LT"/>
        </w:rPr>
        <w:t>23 proc. mažiau ne</w:t>
      </w:r>
      <w:r w:rsidR="00095D4D">
        <w:rPr>
          <w:noProof/>
          <w:lang w:eastAsia="lt-LT"/>
        </w:rPr>
        <w:t>gu</w:t>
      </w:r>
      <w:r>
        <w:rPr>
          <w:noProof/>
          <w:lang w:eastAsia="lt-LT"/>
        </w:rPr>
        <w:t xml:space="preserve"> 2013 metais.  </w:t>
      </w:r>
    </w:p>
    <w:p w:rsidR="00E97ECA" w:rsidRPr="00630125" w:rsidRDefault="00E97ECA" w:rsidP="00E97ECA">
      <w:pPr>
        <w:jc w:val="center"/>
        <w:rPr>
          <w:b/>
          <w:i/>
        </w:rPr>
      </w:pPr>
    </w:p>
    <w:p w:rsidR="007A56F0" w:rsidRPr="007A56F0" w:rsidRDefault="007A56F0" w:rsidP="007A56F0">
      <w:pPr>
        <w:pStyle w:val="Pagrindinistekstas3"/>
        <w:spacing w:after="0"/>
        <w:jc w:val="center"/>
        <w:rPr>
          <w:b/>
          <w:sz w:val="24"/>
          <w:szCs w:val="24"/>
        </w:rPr>
      </w:pPr>
      <w:r w:rsidRPr="007A56F0">
        <w:rPr>
          <w:b/>
          <w:sz w:val="24"/>
          <w:szCs w:val="24"/>
        </w:rPr>
        <w:t>Dėl Rietavo savivaldybės tarybos sprendimais suteiktų mokesčio lengvatų</w:t>
      </w:r>
    </w:p>
    <w:p w:rsidR="007A56F0" w:rsidRDefault="007A56F0" w:rsidP="007A56F0">
      <w:pPr>
        <w:pStyle w:val="Pagrindinistekstas3"/>
        <w:spacing w:after="0"/>
        <w:jc w:val="center"/>
        <w:rPr>
          <w:b/>
          <w:sz w:val="24"/>
          <w:szCs w:val="24"/>
        </w:rPr>
      </w:pPr>
      <w:r w:rsidRPr="007A56F0">
        <w:rPr>
          <w:b/>
          <w:sz w:val="24"/>
          <w:szCs w:val="24"/>
        </w:rPr>
        <w:t>negauta žemės nuomos mokesčio pajamų 2013 – 2015 metais</w:t>
      </w:r>
    </w:p>
    <w:p w:rsidR="007A56F0" w:rsidRPr="007A56F0" w:rsidRDefault="007A56F0" w:rsidP="007A56F0">
      <w:pPr>
        <w:pStyle w:val="Pagrindinistekstas3"/>
        <w:spacing w:after="0"/>
        <w:jc w:val="center"/>
        <w:rPr>
          <w:b/>
          <w:sz w:val="24"/>
          <w:szCs w:val="24"/>
        </w:rPr>
      </w:pPr>
    </w:p>
    <w:p w:rsidR="00E97ECA" w:rsidRPr="00630125" w:rsidRDefault="007A56F0" w:rsidP="007A56F0">
      <w:pPr>
        <w:jc w:val="center"/>
        <w:rPr>
          <w:b/>
          <w:i/>
        </w:rPr>
      </w:pPr>
      <w:r>
        <w:rPr>
          <w:noProof/>
          <w:lang w:eastAsia="lt-LT"/>
        </w:rPr>
        <w:lastRenderedPageBreak/>
        <w:drawing>
          <wp:inline distT="0" distB="0" distL="0" distR="0">
            <wp:extent cx="4680282" cy="2173403"/>
            <wp:effectExtent l="12479" t="5282" r="6239" b="0"/>
            <wp:docPr id="59"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97ECA" w:rsidRPr="00630125" w:rsidRDefault="00E97ECA" w:rsidP="00E97ECA">
      <w:pPr>
        <w:jc w:val="center"/>
        <w:rPr>
          <w:b/>
          <w:i/>
        </w:rPr>
      </w:pPr>
    </w:p>
    <w:p w:rsidR="007A56F0" w:rsidRDefault="007A56F0" w:rsidP="00A01088">
      <w:pPr>
        <w:jc w:val="left"/>
        <w:rPr>
          <w:bCs/>
        </w:rPr>
      </w:pPr>
      <w:r w:rsidRPr="00D64290">
        <w:t>Rietavo savivaldybės</w:t>
      </w:r>
      <w:r>
        <w:rPr>
          <w:b/>
          <w:bCs/>
        </w:rPr>
        <w:t xml:space="preserve"> </w:t>
      </w:r>
      <w:r w:rsidRPr="00686667">
        <w:rPr>
          <w:bCs/>
        </w:rPr>
        <w:t>tarybos sprendimu</w:t>
      </w:r>
      <w:r>
        <w:rPr>
          <w:bCs/>
        </w:rPr>
        <w:t xml:space="preserve"> žemės nuomos mokesčio lengvata taikoma Rietavo savivaldybėje gyvenantiems senatvės pensininkams, asmenims, kuriems nustatytas 0-25 ir 30-40 proc. darbingumo lygis ir nepilnamečiams vaikams, kurių šeimose apmokestinamojo laikotarpio pradžioje nėra darbingų asmenų. Jiems nustatytas valstybinės žemės sklypų neapmokestinamas dydis</w:t>
      </w:r>
      <w:r w:rsidR="00095D4D">
        <w:rPr>
          <w:bCs/>
        </w:rPr>
        <w:t>:</w:t>
      </w:r>
      <w:r>
        <w:rPr>
          <w:bCs/>
        </w:rPr>
        <w:t xml:space="preserve"> besinaudojantiems žem</w:t>
      </w:r>
      <w:r w:rsidR="00095D4D">
        <w:rPr>
          <w:bCs/>
        </w:rPr>
        <w:t>e</w:t>
      </w:r>
      <w:r>
        <w:rPr>
          <w:bCs/>
        </w:rPr>
        <w:t xml:space="preserve"> Rietavo m. – iki 0,06 ha, kaimo vietovėse – iki 1,0 ha.</w:t>
      </w:r>
    </w:p>
    <w:p w:rsidR="007A56F0" w:rsidRPr="00D64290" w:rsidRDefault="007A56F0" w:rsidP="007A56F0">
      <w:pPr>
        <w:rPr>
          <w:b/>
          <w:bCs/>
        </w:rPr>
      </w:pPr>
    </w:p>
    <w:p w:rsidR="007A56F0" w:rsidRPr="007A56F0" w:rsidRDefault="007A56F0" w:rsidP="007A56F0">
      <w:pPr>
        <w:pStyle w:val="Antrat2"/>
        <w:spacing w:before="0" w:after="0"/>
        <w:jc w:val="center"/>
        <w:rPr>
          <w:rFonts w:ascii="Times New Roman" w:hAnsi="Times New Roman" w:cs="Times New Roman"/>
          <w:bCs w:val="0"/>
          <w:i w:val="0"/>
          <w:sz w:val="24"/>
          <w:szCs w:val="24"/>
        </w:rPr>
      </w:pPr>
      <w:r w:rsidRPr="007A56F0">
        <w:rPr>
          <w:rFonts w:ascii="Times New Roman" w:hAnsi="Times New Roman" w:cs="Times New Roman"/>
          <w:i w:val="0"/>
          <w:sz w:val="24"/>
          <w:szCs w:val="24"/>
        </w:rPr>
        <w:t>MOKSLEIVIŲ IR GYVENTOJŲ PAVĖŽĖJIMAS</w:t>
      </w:r>
    </w:p>
    <w:p w:rsidR="007A56F0" w:rsidRPr="007A56F0" w:rsidRDefault="007A56F0" w:rsidP="007A56F0">
      <w:pPr>
        <w:pStyle w:val="Pagrindinistekstas"/>
        <w:ind w:right="0" w:firstLine="720"/>
        <w:jc w:val="left"/>
        <w:rPr>
          <w:b w:val="0"/>
          <w:sz w:val="24"/>
          <w:szCs w:val="24"/>
        </w:rPr>
      </w:pPr>
    </w:p>
    <w:p w:rsidR="007A56F0" w:rsidRPr="007A56F0" w:rsidRDefault="007A56F0" w:rsidP="00A01088">
      <w:pPr>
        <w:pStyle w:val="Pagrindinistekstas"/>
        <w:ind w:right="0" w:firstLine="720"/>
        <w:jc w:val="left"/>
        <w:rPr>
          <w:b w:val="0"/>
          <w:sz w:val="24"/>
          <w:szCs w:val="24"/>
        </w:rPr>
      </w:pPr>
      <w:r w:rsidRPr="007A56F0">
        <w:rPr>
          <w:b w:val="0"/>
          <w:sz w:val="24"/>
          <w:szCs w:val="24"/>
        </w:rPr>
        <w:t>Mokiniai į bendro</w:t>
      </w:r>
      <w:r w:rsidR="00095D4D">
        <w:rPr>
          <w:b w:val="0"/>
          <w:sz w:val="24"/>
          <w:szCs w:val="24"/>
        </w:rPr>
        <w:t>jo</w:t>
      </w:r>
      <w:r w:rsidRPr="007A56F0">
        <w:rPr>
          <w:b w:val="0"/>
          <w:sz w:val="24"/>
          <w:szCs w:val="24"/>
        </w:rPr>
        <w:t xml:space="preserve"> lavinimo mokyklas vežami Rietavo L. Ivinskio ir Tverų gimnazijų, Žadvainių pagrindinės mokyklos ir Savivaldybės administracijos mokykliniais autobusais ir UAB „Šakyna“ įmonės transportu. </w:t>
      </w:r>
    </w:p>
    <w:p w:rsidR="007A56F0" w:rsidRDefault="007A56F0" w:rsidP="007A56F0">
      <w:pPr>
        <w:pStyle w:val="Pagrindiniotekstotrauka3"/>
        <w:jc w:val="center"/>
      </w:pPr>
    </w:p>
    <w:p w:rsidR="00E97ECA" w:rsidRPr="00630125" w:rsidRDefault="00E97ECA" w:rsidP="00E97ECA">
      <w:pPr>
        <w:pStyle w:val="Pagrindiniotekstotrauka3"/>
        <w:jc w:val="center"/>
        <w:rPr>
          <w:i/>
        </w:rPr>
      </w:pPr>
    </w:p>
    <w:p w:rsidR="007A56F0" w:rsidRPr="007A56F0" w:rsidRDefault="007A56F0" w:rsidP="007A56F0">
      <w:pPr>
        <w:pStyle w:val="Pagrindiniotekstotrauka3"/>
        <w:jc w:val="center"/>
        <w:rPr>
          <w:b/>
          <w:sz w:val="24"/>
          <w:szCs w:val="24"/>
        </w:rPr>
      </w:pPr>
      <w:r w:rsidRPr="007A56F0">
        <w:rPr>
          <w:b/>
          <w:sz w:val="24"/>
          <w:szCs w:val="24"/>
        </w:rPr>
        <w:t>Į Savivaldybės mokyklas vežamų mokinių skaičius 2013 – 2015 metais</w:t>
      </w:r>
    </w:p>
    <w:p w:rsidR="00E97ECA" w:rsidRPr="00630125" w:rsidRDefault="007A56F0" w:rsidP="007A56F0">
      <w:pPr>
        <w:jc w:val="center"/>
        <w:rPr>
          <w:i/>
        </w:rPr>
      </w:pPr>
      <w:r>
        <w:rPr>
          <w:noProof/>
          <w:lang w:eastAsia="lt-LT"/>
        </w:rPr>
        <w:drawing>
          <wp:inline distT="0" distB="0" distL="0" distR="0">
            <wp:extent cx="4443373" cy="2186305"/>
            <wp:effectExtent l="19050" t="0" r="14327" b="4445"/>
            <wp:docPr id="60" name="Diagrama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97ECA" w:rsidRPr="00630125" w:rsidRDefault="00E97ECA" w:rsidP="00E97ECA">
      <w:pPr>
        <w:jc w:val="center"/>
        <w:rPr>
          <w:i/>
        </w:rPr>
      </w:pPr>
    </w:p>
    <w:p w:rsidR="007A56F0" w:rsidRDefault="007A56F0" w:rsidP="00A01088">
      <w:pPr>
        <w:jc w:val="left"/>
      </w:pPr>
      <w:r>
        <w:t>Mažėjant mokyklose mokinių skaičiui, kasmet mažėja ir į bendrojo lavinimo mokyklas vežiojamų mokinių skaičius. 2015 metais, lyginant su 2014 metais</w:t>
      </w:r>
      <w:r w:rsidR="00095D4D">
        <w:t>,</w:t>
      </w:r>
      <w:r>
        <w:t xml:space="preserve"> vežiojamų mokinių skaičius sumažėjo 3,1 proc., o lyginant su 2013 metais – net 11,6 proc. </w:t>
      </w:r>
    </w:p>
    <w:p w:rsidR="007A56F0" w:rsidRDefault="007A56F0" w:rsidP="00A01088">
      <w:pPr>
        <w:pStyle w:val="Pagrindinistekstas"/>
        <w:ind w:right="0" w:firstLine="720"/>
        <w:jc w:val="left"/>
        <w:rPr>
          <w:b w:val="0"/>
          <w:sz w:val="24"/>
          <w:szCs w:val="24"/>
        </w:rPr>
      </w:pPr>
      <w:r w:rsidRPr="007A56F0">
        <w:rPr>
          <w:b w:val="0"/>
          <w:sz w:val="24"/>
          <w:szCs w:val="24"/>
        </w:rPr>
        <w:t>43 proc. mokinių pavežama mokykliniais autobusais, 57 proc. – privačiu transportu.</w:t>
      </w:r>
    </w:p>
    <w:p w:rsidR="007A56F0" w:rsidRPr="007A56F0" w:rsidRDefault="007A56F0" w:rsidP="007A56F0">
      <w:pPr>
        <w:pStyle w:val="Pagrindinistekstas"/>
        <w:ind w:right="0" w:firstLine="720"/>
        <w:jc w:val="left"/>
        <w:rPr>
          <w:b w:val="0"/>
          <w:sz w:val="24"/>
          <w:szCs w:val="24"/>
        </w:rPr>
      </w:pPr>
    </w:p>
    <w:p w:rsidR="007A56F0" w:rsidRDefault="007A56F0" w:rsidP="007A56F0">
      <w:pPr>
        <w:jc w:val="center"/>
      </w:pPr>
      <w:r>
        <w:rPr>
          <w:noProof/>
          <w:lang w:eastAsia="lt-LT"/>
        </w:rPr>
        <w:lastRenderedPageBreak/>
        <w:drawing>
          <wp:inline distT="0" distB="0" distL="0" distR="0">
            <wp:extent cx="3524114" cy="2133941"/>
            <wp:effectExtent l="9404" t="4739" r="4702" b="0"/>
            <wp:docPr id="61"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A56F0" w:rsidRPr="00630125" w:rsidRDefault="007A56F0" w:rsidP="00E97ECA">
      <w:pPr>
        <w:jc w:val="center"/>
        <w:rPr>
          <w:i/>
        </w:rPr>
      </w:pPr>
    </w:p>
    <w:p w:rsidR="00E97ECA" w:rsidRPr="00630125" w:rsidRDefault="00E97ECA" w:rsidP="00E97ECA">
      <w:pPr>
        <w:jc w:val="center"/>
        <w:rPr>
          <w:i/>
        </w:rPr>
      </w:pPr>
    </w:p>
    <w:p w:rsidR="007A56F0" w:rsidRPr="007A56F0" w:rsidRDefault="007A56F0" w:rsidP="007A56F0">
      <w:pPr>
        <w:pStyle w:val="Pagrindinistekstas"/>
        <w:ind w:right="0" w:firstLine="720"/>
        <w:jc w:val="left"/>
        <w:rPr>
          <w:b w:val="0"/>
          <w:sz w:val="24"/>
          <w:szCs w:val="24"/>
        </w:rPr>
      </w:pPr>
      <w:r w:rsidRPr="007A56F0">
        <w:rPr>
          <w:b w:val="0"/>
          <w:sz w:val="24"/>
          <w:szCs w:val="24"/>
        </w:rPr>
        <w:t xml:space="preserve">Savivaldybės gyventojų pavėžėjimo vietiniais reguliariais susisiekimo maršrutais paslaugas pagal sudarytas viešojo pirkimo ir pardavimo sutartis teikia UAB „Šakyna“. </w:t>
      </w:r>
    </w:p>
    <w:p w:rsidR="007A56F0" w:rsidRDefault="007A56F0" w:rsidP="007A56F0">
      <w:pPr>
        <w:pStyle w:val="Pagrindinistekstas"/>
        <w:ind w:right="0" w:firstLine="720"/>
        <w:jc w:val="left"/>
        <w:rPr>
          <w:b w:val="0"/>
          <w:sz w:val="24"/>
          <w:szCs w:val="24"/>
        </w:rPr>
      </w:pPr>
      <w:r w:rsidRPr="007A56F0">
        <w:rPr>
          <w:b w:val="0"/>
          <w:sz w:val="24"/>
          <w:szCs w:val="24"/>
        </w:rPr>
        <w:t xml:space="preserve">Gyventojai vežami 17 vietiniais reguliaraus susisiekimo maršrutais.  </w:t>
      </w:r>
    </w:p>
    <w:p w:rsidR="007A56F0" w:rsidRDefault="007A56F0" w:rsidP="007A56F0">
      <w:pPr>
        <w:pStyle w:val="Pagrindinistekstas"/>
        <w:ind w:right="0" w:firstLine="720"/>
        <w:jc w:val="left"/>
        <w:rPr>
          <w:b w:val="0"/>
          <w:sz w:val="24"/>
          <w:szCs w:val="24"/>
        </w:rPr>
      </w:pPr>
    </w:p>
    <w:p w:rsidR="007A56F0" w:rsidRPr="007A56F0" w:rsidRDefault="007A56F0" w:rsidP="007A56F0">
      <w:pPr>
        <w:pStyle w:val="Pagrindinistekstas"/>
        <w:ind w:right="0" w:firstLine="720"/>
        <w:jc w:val="left"/>
        <w:rPr>
          <w:b w:val="0"/>
          <w:sz w:val="24"/>
          <w:szCs w:val="24"/>
        </w:rPr>
      </w:pPr>
      <w:r>
        <w:rPr>
          <w:noProof/>
          <w:lang w:eastAsia="lt-LT"/>
        </w:rPr>
        <w:drawing>
          <wp:inline distT="0" distB="0" distL="0" distR="0">
            <wp:extent cx="4245128" cy="2427928"/>
            <wp:effectExtent l="19050" t="0" r="22072" b="0"/>
            <wp:docPr id="62" name="Diagrama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97ECA" w:rsidRPr="00630125" w:rsidRDefault="00E97ECA" w:rsidP="00E97ECA">
      <w:pPr>
        <w:jc w:val="left"/>
        <w:rPr>
          <w:i/>
          <w:szCs w:val="24"/>
        </w:rPr>
      </w:pPr>
      <w:r w:rsidRPr="00630125">
        <w:rPr>
          <w:i/>
          <w:szCs w:val="24"/>
        </w:rPr>
        <w:tab/>
      </w:r>
    </w:p>
    <w:p w:rsidR="007A56F0" w:rsidRPr="007A56F0" w:rsidRDefault="007A56F0" w:rsidP="007A56F0">
      <w:pPr>
        <w:pStyle w:val="Pagrindinistekstas"/>
        <w:ind w:right="0" w:firstLine="720"/>
        <w:rPr>
          <w:sz w:val="24"/>
          <w:szCs w:val="24"/>
        </w:rPr>
      </w:pPr>
      <w:r w:rsidRPr="007A56F0">
        <w:rPr>
          <w:sz w:val="24"/>
          <w:szCs w:val="24"/>
        </w:rPr>
        <w:t>Vietiniais maršrutais vežamų gyventojų skaičius ir jų vežimo išlaidų kompensavimas</w:t>
      </w:r>
    </w:p>
    <w:p w:rsidR="007A56F0" w:rsidRPr="007A56F0" w:rsidRDefault="007A56F0" w:rsidP="007A56F0">
      <w:pPr>
        <w:pStyle w:val="Pagrindinistekstas"/>
        <w:ind w:right="0" w:firstLine="720"/>
        <w:rPr>
          <w:sz w:val="24"/>
          <w:szCs w:val="24"/>
        </w:rPr>
      </w:pPr>
      <w:r w:rsidRPr="007A56F0">
        <w:rPr>
          <w:sz w:val="24"/>
          <w:szCs w:val="24"/>
        </w:rPr>
        <w:t>2015 m. vidutiniškai per 1 mėn.</w:t>
      </w:r>
    </w:p>
    <w:p w:rsidR="007A56F0" w:rsidRPr="007A56F0" w:rsidRDefault="007A56F0" w:rsidP="007A56F0">
      <w:pPr>
        <w:pStyle w:val="Pagrindiniotekstotrauka3"/>
        <w:spacing w:after="0"/>
        <w:ind w:left="0"/>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2"/>
        <w:gridCol w:w="1932"/>
        <w:gridCol w:w="1947"/>
        <w:gridCol w:w="1947"/>
        <w:gridCol w:w="1956"/>
      </w:tblGrid>
      <w:tr w:rsidR="007A56F0" w:rsidRPr="007A56F0" w:rsidTr="007A56F0">
        <w:tc>
          <w:tcPr>
            <w:tcW w:w="1970" w:type="dxa"/>
          </w:tcPr>
          <w:p w:rsidR="007A56F0" w:rsidRPr="007A56F0" w:rsidRDefault="007A56F0" w:rsidP="00EE60E1">
            <w:pPr>
              <w:pStyle w:val="Pagrindiniotekstotrauka3"/>
              <w:spacing w:after="0"/>
              <w:ind w:left="0"/>
              <w:rPr>
                <w:sz w:val="24"/>
                <w:szCs w:val="24"/>
              </w:rPr>
            </w:pPr>
            <w:r w:rsidRPr="007A56F0">
              <w:rPr>
                <w:sz w:val="24"/>
                <w:szCs w:val="24"/>
              </w:rPr>
              <w:t>Važiuojančių vietiniais reguliariais maršrutais</w:t>
            </w:r>
            <w:r w:rsidR="00EE60E1" w:rsidRPr="007A56F0">
              <w:rPr>
                <w:sz w:val="24"/>
                <w:szCs w:val="24"/>
              </w:rPr>
              <w:t xml:space="preserve"> gyventojų skaičius</w:t>
            </w:r>
          </w:p>
        </w:tc>
        <w:tc>
          <w:tcPr>
            <w:tcW w:w="1971" w:type="dxa"/>
          </w:tcPr>
          <w:p w:rsidR="007A56F0" w:rsidRPr="007A56F0" w:rsidRDefault="007A56F0" w:rsidP="00EE60E1">
            <w:pPr>
              <w:pStyle w:val="Pagrindiniotekstotrauka3"/>
              <w:spacing w:after="0"/>
              <w:ind w:left="0"/>
              <w:rPr>
                <w:sz w:val="24"/>
                <w:szCs w:val="24"/>
              </w:rPr>
            </w:pPr>
            <w:r w:rsidRPr="007A56F0">
              <w:rPr>
                <w:sz w:val="24"/>
                <w:szCs w:val="24"/>
              </w:rPr>
              <w:t>Važiuojančių gyventojų, kurie turi teisę į transporto lengvatas</w:t>
            </w:r>
            <w:r w:rsidR="00EE60E1">
              <w:rPr>
                <w:sz w:val="24"/>
                <w:szCs w:val="24"/>
              </w:rPr>
              <w:t>,</w:t>
            </w:r>
            <w:r w:rsidRPr="007A56F0">
              <w:rPr>
                <w:sz w:val="24"/>
                <w:szCs w:val="24"/>
              </w:rPr>
              <w:t xml:space="preserve">  </w:t>
            </w:r>
            <w:r w:rsidR="00EE60E1" w:rsidRPr="007A56F0">
              <w:rPr>
                <w:sz w:val="24"/>
                <w:szCs w:val="24"/>
              </w:rPr>
              <w:t>skaičius</w:t>
            </w:r>
          </w:p>
        </w:tc>
        <w:tc>
          <w:tcPr>
            <w:tcW w:w="1971" w:type="dxa"/>
          </w:tcPr>
          <w:p w:rsidR="007A56F0" w:rsidRPr="007A56F0" w:rsidRDefault="007A56F0" w:rsidP="00EE60E1">
            <w:pPr>
              <w:pStyle w:val="Pagrindiniotekstotrauka3"/>
              <w:spacing w:after="0"/>
              <w:ind w:left="0"/>
              <w:rPr>
                <w:sz w:val="24"/>
                <w:szCs w:val="24"/>
              </w:rPr>
            </w:pPr>
            <w:r w:rsidRPr="007A56F0">
              <w:rPr>
                <w:sz w:val="24"/>
                <w:szCs w:val="24"/>
              </w:rPr>
              <w:t xml:space="preserve">Gyventojų vežimo nuostolių </w:t>
            </w:r>
            <w:r w:rsidR="00EE60E1" w:rsidRPr="007A56F0">
              <w:rPr>
                <w:sz w:val="24"/>
                <w:szCs w:val="24"/>
              </w:rPr>
              <w:t xml:space="preserve">kompensavimo </w:t>
            </w:r>
            <w:r w:rsidRPr="007A56F0">
              <w:rPr>
                <w:sz w:val="24"/>
                <w:szCs w:val="24"/>
              </w:rPr>
              <w:t>vežėjui 1 km suma Eur</w:t>
            </w:r>
          </w:p>
        </w:tc>
        <w:tc>
          <w:tcPr>
            <w:tcW w:w="1971" w:type="dxa"/>
          </w:tcPr>
          <w:p w:rsidR="007A56F0" w:rsidRPr="007A56F0" w:rsidRDefault="007A56F0" w:rsidP="00EE60E1">
            <w:pPr>
              <w:pStyle w:val="Pagrindiniotekstotrauka3"/>
              <w:spacing w:after="0"/>
              <w:ind w:left="0"/>
              <w:rPr>
                <w:sz w:val="24"/>
                <w:szCs w:val="24"/>
              </w:rPr>
            </w:pPr>
            <w:r w:rsidRPr="007A56F0">
              <w:rPr>
                <w:sz w:val="24"/>
                <w:szCs w:val="24"/>
              </w:rPr>
              <w:t xml:space="preserve">Gyventojų vežimo nuostolių </w:t>
            </w:r>
            <w:r w:rsidR="00EE60E1" w:rsidRPr="007A56F0">
              <w:rPr>
                <w:sz w:val="24"/>
                <w:szCs w:val="24"/>
              </w:rPr>
              <w:t xml:space="preserve">kompensavimo </w:t>
            </w:r>
            <w:r w:rsidRPr="007A56F0">
              <w:rPr>
                <w:sz w:val="24"/>
                <w:szCs w:val="24"/>
              </w:rPr>
              <w:t>vežėjui suma Eur</w:t>
            </w:r>
          </w:p>
        </w:tc>
        <w:tc>
          <w:tcPr>
            <w:tcW w:w="1971" w:type="dxa"/>
          </w:tcPr>
          <w:p w:rsidR="007A56F0" w:rsidRPr="007A56F0" w:rsidRDefault="007A56F0" w:rsidP="007A56F0">
            <w:pPr>
              <w:pStyle w:val="Pagrindiniotekstotrauka3"/>
              <w:spacing w:after="0"/>
              <w:ind w:left="0"/>
              <w:rPr>
                <w:sz w:val="24"/>
                <w:szCs w:val="24"/>
              </w:rPr>
            </w:pPr>
            <w:r w:rsidRPr="007A56F0">
              <w:rPr>
                <w:sz w:val="24"/>
                <w:szCs w:val="24"/>
              </w:rPr>
              <w:t>Dėl gyventojams suteiktų transporto lengvatų vežėjui kompensuojama išlaidų suma Eur</w:t>
            </w:r>
          </w:p>
        </w:tc>
      </w:tr>
      <w:tr w:rsidR="007A56F0" w:rsidRPr="007A56F0" w:rsidTr="007A56F0">
        <w:tc>
          <w:tcPr>
            <w:tcW w:w="1970" w:type="dxa"/>
          </w:tcPr>
          <w:p w:rsidR="007A56F0" w:rsidRPr="007A56F0" w:rsidRDefault="007A56F0" w:rsidP="007A56F0">
            <w:pPr>
              <w:pStyle w:val="Pagrindiniotekstotrauka3"/>
              <w:spacing w:after="0"/>
              <w:ind w:left="0"/>
              <w:rPr>
                <w:sz w:val="24"/>
                <w:szCs w:val="24"/>
              </w:rPr>
            </w:pPr>
            <w:r w:rsidRPr="007A56F0">
              <w:rPr>
                <w:sz w:val="24"/>
                <w:szCs w:val="24"/>
              </w:rPr>
              <w:t>232</w:t>
            </w:r>
          </w:p>
        </w:tc>
        <w:tc>
          <w:tcPr>
            <w:tcW w:w="1971" w:type="dxa"/>
          </w:tcPr>
          <w:p w:rsidR="007A56F0" w:rsidRPr="007A56F0" w:rsidRDefault="007A56F0" w:rsidP="007A56F0">
            <w:pPr>
              <w:pStyle w:val="Pagrindiniotekstotrauka3"/>
              <w:spacing w:after="0"/>
              <w:ind w:left="0"/>
              <w:rPr>
                <w:sz w:val="24"/>
                <w:szCs w:val="24"/>
              </w:rPr>
            </w:pPr>
            <w:r w:rsidRPr="007A56F0">
              <w:rPr>
                <w:sz w:val="24"/>
                <w:szCs w:val="24"/>
              </w:rPr>
              <w:t>132</w:t>
            </w:r>
          </w:p>
        </w:tc>
        <w:tc>
          <w:tcPr>
            <w:tcW w:w="1971" w:type="dxa"/>
          </w:tcPr>
          <w:p w:rsidR="007A56F0" w:rsidRPr="007A56F0" w:rsidRDefault="007A56F0" w:rsidP="007A56F0">
            <w:pPr>
              <w:pStyle w:val="Pagrindiniotekstotrauka3"/>
              <w:spacing w:after="0"/>
              <w:ind w:left="0"/>
              <w:rPr>
                <w:sz w:val="24"/>
                <w:szCs w:val="24"/>
              </w:rPr>
            </w:pPr>
            <w:r w:rsidRPr="007A56F0">
              <w:rPr>
                <w:sz w:val="24"/>
                <w:szCs w:val="24"/>
              </w:rPr>
              <w:t>0,79</w:t>
            </w:r>
          </w:p>
        </w:tc>
        <w:tc>
          <w:tcPr>
            <w:tcW w:w="1971" w:type="dxa"/>
          </w:tcPr>
          <w:p w:rsidR="007A56F0" w:rsidRPr="007A56F0" w:rsidRDefault="007A56F0" w:rsidP="007A56F0">
            <w:pPr>
              <w:pStyle w:val="Pagrindiniotekstotrauka3"/>
              <w:spacing w:after="0"/>
              <w:ind w:left="0"/>
              <w:rPr>
                <w:sz w:val="24"/>
                <w:szCs w:val="24"/>
              </w:rPr>
            </w:pPr>
            <w:r w:rsidRPr="007A56F0">
              <w:rPr>
                <w:sz w:val="24"/>
                <w:szCs w:val="24"/>
              </w:rPr>
              <w:t>626,73</w:t>
            </w:r>
          </w:p>
        </w:tc>
        <w:tc>
          <w:tcPr>
            <w:tcW w:w="1971" w:type="dxa"/>
          </w:tcPr>
          <w:p w:rsidR="007A56F0" w:rsidRPr="007A56F0" w:rsidRDefault="007A56F0" w:rsidP="007A56F0">
            <w:pPr>
              <w:pStyle w:val="Pagrindiniotekstotrauka3"/>
              <w:spacing w:after="0"/>
              <w:ind w:left="0"/>
              <w:rPr>
                <w:sz w:val="24"/>
                <w:szCs w:val="24"/>
              </w:rPr>
            </w:pPr>
            <w:r w:rsidRPr="007A56F0">
              <w:rPr>
                <w:sz w:val="24"/>
                <w:szCs w:val="24"/>
              </w:rPr>
              <w:t>69,69</w:t>
            </w:r>
          </w:p>
        </w:tc>
      </w:tr>
    </w:tbl>
    <w:p w:rsidR="007A56F0" w:rsidRPr="007A56F0" w:rsidRDefault="007A56F0" w:rsidP="007A56F0">
      <w:pPr>
        <w:pStyle w:val="Pagrindiniotekstotrauka3"/>
        <w:spacing w:after="0"/>
        <w:ind w:left="0"/>
        <w:rPr>
          <w:sz w:val="24"/>
          <w:szCs w:val="24"/>
        </w:rPr>
      </w:pPr>
    </w:p>
    <w:p w:rsidR="007A56F0" w:rsidRPr="007A56F0" w:rsidRDefault="00BB1A6C" w:rsidP="007A56F0">
      <w:pPr>
        <w:pStyle w:val="Pagrindiniotekstotrauka3"/>
        <w:spacing w:after="0"/>
        <w:ind w:left="0"/>
        <w:rPr>
          <w:sz w:val="24"/>
          <w:szCs w:val="24"/>
        </w:rPr>
      </w:pPr>
      <w:r>
        <w:rPr>
          <w:sz w:val="24"/>
          <w:szCs w:val="24"/>
        </w:rPr>
        <w:t xml:space="preserve">             </w:t>
      </w:r>
      <w:r w:rsidR="007A56F0" w:rsidRPr="007A56F0">
        <w:rPr>
          <w:sz w:val="24"/>
          <w:szCs w:val="24"/>
        </w:rPr>
        <w:t xml:space="preserve">Važiuojančių vietiniais reguliaraus eismo maršrutais </w:t>
      </w:r>
      <w:r w:rsidR="00EE60E1" w:rsidRPr="007A56F0">
        <w:rPr>
          <w:sz w:val="24"/>
          <w:szCs w:val="24"/>
        </w:rPr>
        <w:t xml:space="preserve">gyventojų </w:t>
      </w:r>
      <w:r w:rsidR="007A56F0" w:rsidRPr="007A56F0">
        <w:rPr>
          <w:sz w:val="24"/>
          <w:szCs w:val="24"/>
        </w:rPr>
        <w:t xml:space="preserve">kasmet mažėja, vidutiniškai per mėnesį 2015 metais buvo pavežami 232 gyventojai, iš jų 57 proc. turėjo teisę į transporto lengvatas. Transporto lengvatoms kompensuoti vežėjui kas mėnesį vidutiniškai buvo išmokėta 69,69 Eur (2014 m. – 78,31 Eur). </w:t>
      </w:r>
    </w:p>
    <w:p w:rsidR="00E97ECA" w:rsidRPr="007A56F0" w:rsidRDefault="00E97ECA" w:rsidP="007A56F0">
      <w:pPr>
        <w:pStyle w:val="Pagrindinistekstas"/>
        <w:ind w:right="0" w:firstLine="720"/>
        <w:jc w:val="left"/>
        <w:rPr>
          <w:b w:val="0"/>
          <w:i/>
          <w:sz w:val="24"/>
          <w:szCs w:val="24"/>
        </w:rPr>
      </w:pPr>
    </w:p>
    <w:p w:rsidR="00E97ECA" w:rsidRPr="00630125" w:rsidRDefault="00E97ECA" w:rsidP="00E97ECA">
      <w:pPr>
        <w:pStyle w:val="Pagrindinistekstas"/>
        <w:ind w:firstLine="720"/>
        <w:rPr>
          <w:b w:val="0"/>
          <w:i/>
        </w:rPr>
      </w:pPr>
    </w:p>
    <w:p w:rsidR="00C1583F" w:rsidRPr="003A5633" w:rsidRDefault="00C1583F" w:rsidP="00C1583F">
      <w:pPr>
        <w:jc w:val="center"/>
        <w:rPr>
          <w:b/>
          <w:szCs w:val="24"/>
        </w:rPr>
      </w:pPr>
      <w:r w:rsidRPr="003A5633">
        <w:rPr>
          <w:b/>
          <w:szCs w:val="24"/>
        </w:rPr>
        <w:t>SOCIALINĖ PARAMA</w:t>
      </w:r>
    </w:p>
    <w:p w:rsidR="00C1583F" w:rsidRPr="00BB28F3" w:rsidRDefault="00C1583F" w:rsidP="00C1583F">
      <w:pPr>
        <w:ind w:firstLine="1080"/>
        <w:rPr>
          <w:b/>
          <w:color w:val="3366FF"/>
          <w:szCs w:val="24"/>
        </w:rPr>
      </w:pPr>
    </w:p>
    <w:p w:rsidR="00C1583F" w:rsidRPr="00EC302D" w:rsidRDefault="00C1583F" w:rsidP="006D327D">
      <w:pPr>
        <w:jc w:val="left"/>
      </w:pPr>
      <w:r w:rsidRPr="00BB28F3">
        <w:rPr>
          <w:szCs w:val="24"/>
        </w:rPr>
        <w:lastRenderedPageBreak/>
        <w:t>Vienas pagrindinių piniginės socialinės paramos tikslų – padėti tenkinti būtiniausius poreikius tiems žmonėms, kurių gaunamos pajamos yra nepakankamos, o gebėjimas pasirūpinti savimi dėl objektyvių, nuo jų nepriklausančių priežasčių</w:t>
      </w:r>
      <w:r w:rsidR="00EE60E1">
        <w:rPr>
          <w:szCs w:val="24"/>
        </w:rPr>
        <w:t>,</w:t>
      </w:r>
      <w:r w:rsidRPr="00BB28F3">
        <w:rPr>
          <w:szCs w:val="24"/>
        </w:rPr>
        <w:t xml:space="preserve"> yra ribotas.</w:t>
      </w:r>
      <w:r>
        <w:rPr>
          <w:rFonts w:ascii="Arial" w:hAnsi="Arial" w:cs="Arial"/>
          <w:sz w:val="18"/>
          <w:szCs w:val="18"/>
        </w:rPr>
        <w:t xml:space="preserve"> </w:t>
      </w:r>
      <w:r w:rsidRPr="00EC302D">
        <w:t>Socialinė apsauga – viena iš svarbiausių Savivaldybės veiklos sričių, reikalaujanti daug žmogiškųjų ir finansinių išteklių. Socialinė parama orientuota į mažas pajamas gaunančių šeimų rėmimą</w:t>
      </w:r>
      <w:r>
        <w:t>.</w:t>
      </w:r>
    </w:p>
    <w:p w:rsidR="00C1583F" w:rsidRPr="00EC302D" w:rsidRDefault="00C1583F" w:rsidP="00C1583F"/>
    <w:p w:rsidR="00C1583F" w:rsidRPr="00EC302D" w:rsidRDefault="00C1583F" w:rsidP="00C1583F">
      <w:pPr>
        <w:rPr>
          <w:b/>
          <w:color w:val="000000"/>
        </w:rPr>
      </w:pPr>
      <w:r w:rsidRPr="00EC302D">
        <w:rPr>
          <w:b/>
          <w:color w:val="3366FF"/>
        </w:rPr>
        <w:t xml:space="preserve">                             </w:t>
      </w:r>
      <w:r w:rsidRPr="00EC302D">
        <w:rPr>
          <w:b/>
          <w:color w:val="000000"/>
        </w:rPr>
        <w:t>20</w:t>
      </w:r>
      <w:r w:rsidRPr="00EC302D">
        <w:rPr>
          <w:b/>
          <w:color w:val="000000"/>
          <w:lang w:val="pt-BR"/>
        </w:rPr>
        <w:t>1</w:t>
      </w:r>
      <w:r>
        <w:rPr>
          <w:b/>
          <w:color w:val="000000"/>
          <w:lang w:val="pt-BR"/>
        </w:rPr>
        <w:t>5</w:t>
      </w:r>
      <w:r w:rsidRPr="00EC302D">
        <w:rPr>
          <w:b/>
          <w:color w:val="000000"/>
        </w:rPr>
        <w:t xml:space="preserve"> m</w:t>
      </w:r>
      <w:r>
        <w:rPr>
          <w:b/>
          <w:color w:val="000000"/>
        </w:rPr>
        <w:t>etais</w:t>
      </w:r>
      <w:r w:rsidRPr="00EC302D">
        <w:rPr>
          <w:b/>
          <w:color w:val="000000"/>
        </w:rPr>
        <w:t xml:space="preserve"> </w:t>
      </w:r>
      <w:r>
        <w:rPr>
          <w:b/>
          <w:color w:val="000000"/>
        </w:rPr>
        <w:t>administruotos lėšos (tūkst. eurų</w:t>
      </w:r>
      <w:r w:rsidRPr="00EC302D">
        <w:rPr>
          <w:b/>
          <w:color w:val="000000"/>
        </w:rPr>
        <w:t>)</w:t>
      </w:r>
    </w:p>
    <w:p w:rsidR="00C1583F" w:rsidRPr="009D3520" w:rsidRDefault="00C1583F" w:rsidP="00C1583F">
      <w:pPr>
        <w:rPr>
          <w:b/>
          <w:i/>
        </w:rPr>
      </w:pPr>
      <w:r>
        <w:rPr>
          <w:i/>
          <w:noProof/>
          <w:color w:val="3366FF"/>
          <w:lang w:eastAsia="lt-LT"/>
        </w:rPr>
        <w:drawing>
          <wp:anchor distT="798576" distB="441325" distL="1022604" distR="123190" simplePos="0" relativeHeight="251675648" behindDoc="0" locked="0" layoutInCell="1" allowOverlap="1">
            <wp:simplePos x="0" y="0"/>
            <wp:positionH relativeFrom="column">
              <wp:posOffset>243840</wp:posOffset>
            </wp:positionH>
            <wp:positionV relativeFrom="paragraph">
              <wp:posOffset>130810</wp:posOffset>
            </wp:positionV>
            <wp:extent cx="5543550" cy="2914650"/>
            <wp:effectExtent l="0" t="0" r="0" b="0"/>
            <wp:wrapNone/>
            <wp:docPr id="37" name="Objektas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r w:rsidRPr="009D3520">
        <w:rPr>
          <w:i/>
          <w:color w:val="3366FF"/>
        </w:rPr>
        <w:t xml:space="preserve">        </w:t>
      </w:r>
      <w:r w:rsidRPr="009D3520">
        <w:rPr>
          <w:i/>
        </w:rPr>
        <w:t xml:space="preserve"> </w:t>
      </w: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ind w:firstLine="0"/>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color w:val="3366FF"/>
        </w:rPr>
      </w:pPr>
    </w:p>
    <w:p w:rsidR="00E97ECA" w:rsidRPr="00630125" w:rsidRDefault="00E97ECA" w:rsidP="00E97ECA">
      <w:pPr>
        <w:rPr>
          <w:i/>
          <w:color w:val="3366FF"/>
        </w:rPr>
      </w:pPr>
      <w:r w:rsidRPr="00630125">
        <w:rPr>
          <w:i/>
          <w:color w:val="3366FF"/>
        </w:rPr>
        <w:t xml:space="preserve">                       </w:t>
      </w:r>
    </w:p>
    <w:p w:rsidR="00E97ECA" w:rsidRPr="00630125" w:rsidRDefault="00E97ECA" w:rsidP="00E97ECA">
      <w:pPr>
        <w:rPr>
          <w:i/>
          <w:color w:val="3366FF"/>
        </w:rPr>
      </w:pPr>
    </w:p>
    <w:p w:rsidR="00E97ECA" w:rsidRPr="00630125" w:rsidRDefault="00E97ECA" w:rsidP="00E97ECA">
      <w:pPr>
        <w:rPr>
          <w:i/>
          <w:color w:val="3366FF"/>
        </w:rPr>
      </w:pPr>
      <w:r w:rsidRPr="00630125">
        <w:rPr>
          <w:i/>
          <w:color w:val="3366FF"/>
        </w:rPr>
        <w:t xml:space="preserve">                    </w:t>
      </w:r>
    </w:p>
    <w:p w:rsidR="00E97ECA" w:rsidRPr="00630125" w:rsidRDefault="00E97ECA" w:rsidP="00E97ECA">
      <w:pPr>
        <w:rPr>
          <w:i/>
          <w:color w:val="3366FF"/>
        </w:rPr>
      </w:pPr>
    </w:p>
    <w:p w:rsidR="00E97ECA" w:rsidRPr="00630125" w:rsidRDefault="00E97ECA" w:rsidP="00E97ECA">
      <w:pPr>
        <w:rPr>
          <w:i/>
          <w:color w:val="3366FF"/>
        </w:rPr>
      </w:pPr>
    </w:p>
    <w:p w:rsidR="00C56D77" w:rsidRDefault="00C56D77" w:rsidP="00A01088">
      <w:pPr>
        <w:jc w:val="left"/>
      </w:pPr>
      <w:r w:rsidRPr="00255D50">
        <w:t>S</w:t>
      </w:r>
      <w:r>
        <w:t>pecialiosios</w:t>
      </w:r>
      <w:r w:rsidRPr="00255D50">
        <w:t xml:space="preserve"> dotacijos iš </w:t>
      </w:r>
      <w:r>
        <w:t>valstybės biudžeto dalį</w:t>
      </w:r>
      <w:r w:rsidRPr="00255D50">
        <w:t xml:space="preserve"> įvairioms socialinėms išmokoms </w:t>
      </w:r>
      <w:r>
        <w:t>sudaro: laidojimo pašalpa, socialinės paslaugos ir socialinė parama</w:t>
      </w:r>
      <w:r w:rsidRPr="00255D50">
        <w:t xml:space="preserve"> mokiniams.</w:t>
      </w:r>
    </w:p>
    <w:p w:rsidR="00C56D77" w:rsidRDefault="00C56D77" w:rsidP="00A01088">
      <w:pPr>
        <w:jc w:val="left"/>
      </w:pPr>
      <w:r w:rsidRPr="00255D50">
        <w:t xml:space="preserve"> </w:t>
      </w:r>
      <w:r>
        <w:t>Iš Savivaldybės biudžeto mokamos: socialinės pašalpos, šildymo išlaidų kompensacijos, kompensacijos karštam ir geriama</w:t>
      </w:r>
      <w:r w:rsidR="00EE60E1">
        <w:t>ja</w:t>
      </w:r>
      <w:r>
        <w:t xml:space="preserve">m vandeniui, kreditas, paimtas daugiabučiam namui atnaujinti (modernizuoti), ir palūkanos. </w:t>
      </w:r>
    </w:p>
    <w:p w:rsidR="00E97ECA" w:rsidRPr="00630125" w:rsidRDefault="00E97ECA" w:rsidP="00E97ECA">
      <w:pPr>
        <w:rPr>
          <w:b/>
          <w:i/>
          <w:color w:val="3366FF"/>
        </w:rPr>
      </w:pPr>
    </w:p>
    <w:p w:rsidR="00E97ECA" w:rsidRPr="00630125" w:rsidRDefault="00E97ECA" w:rsidP="00E97ECA">
      <w:pPr>
        <w:rPr>
          <w:b/>
          <w:i/>
          <w:color w:val="3366FF"/>
        </w:rPr>
      </w:pPr>
    </w:p>
    <w:p w:rsidR="00C56D77" w:rsidRPr="009D3520" w:rsidRDefault="00C56D77" w:rsidP="00C56D77">
      <w:pPr>
        <w:rPr>
          <w:b/>
          <w:i/>
          <w:color w:val="3366FF"/>
        </w:rPr>
      </w:pPr>
      <w:r>
        <w:rPr>
          <w:b/>
          <w:i/>
          <w:color w:val="3366FF"/>
        </w:rPr>
        <w:t xml:space="preserve">                            </w:t>
      </w:r>
      <w:r w:rsidRPr="009D3520">
        <w:rPr>
          <w:b/>
          <w:i/>
          <w:color w:val="3366FF"/>
        </w:rPr>
        <w:t xml:space="preserve"> </w:t>
      </w:r>
      <w:r w:rsidRPr="009D7E66">
        <w:rPr>
          <w:b/>
        </w:rPr>
        <w:t xml:space="preserve">Administruojamų lėšų dinamika tūkst. </w:t>
      </w:r>
      <w:r>
        <w:rPr>
          <w:b/>
        </w:rPr>
        <w:t>eurų</w:t>
      </w:r>
      <w:r w:rsidRPr="009D3520">
        <w:rPr>
          <w:b/>
          <w:i/>
        </w:rPr>
        <w:t xml:space="preserve">          </w:t>
      </w:r>
    </w:p>
    <w:p w:rsidR="00E97ECA" w:rsidRPr="00630125" w:rsidRDefault="00E97ECA" w:rsidP="00E97ECA">
      <w:pPr>
        <w:rPr>
          <w:b/>
          <w:i/>
          <w:color w:val="3366FF"/>
        </w:rPr>
      </w:pPr>
    </w:p>
    <w:p w:rsidR="00E97ECA" w:rsidRPr="00630125" w:rsidRDefault="00E97ECA" w:rsidP="00E97ECA">
      <w:pPr>
        <w:rPr>
          <w:i/>
        </w:rPr>
      </w:pPr>
    </w:p>
    <w:p w:rsidR="00E97ECA" w:rsidRPr="00630125" w:rsidRDefault="00E97ECA" w:rsidP="00E97ECA">
      <w:pPr>
        <w:rPr>
          <w:i/>
        </w:rPr>
      </w:pPr>
    </w:p>
    <w:p w:rsidR="00E97ECA" w:rsidRPr="00630125" w:rsidRDefault="00C56D77" w:rsidP="00E97ECA">
      <w:pPr>
        <w:rPr>
          <w:i/>
        </w:rPr>
      </w:pPr>
      <w:r>
        <w:rPr>
          <w:i/>
          <w:noProof/>
          <w:lang w:eastAsia="lt-LT"/>
        </w:rPr>
        <w:drawing>
          <wp:anchor distT="188976" distB="363855" distL="248412" distR="218313" simplePos="0" relativeHeight="251677696" behindDoc="0" locked="0" layoutInCell="1" allowOverlap="1">
            <wp:simplePos x="0" y="0"/>
            <wp:positionH relativeFrom="column">
              <wp:posOffset>-3810</wp:posOffset>
            </wp:positionH>
            <wp:positionV relativeFrom="paragraph">
              <wp:posOffset>-91440</wp:posOffset>
            </wp:positionV>
            <wp:extent cx="5334000" cy="3524250"/>
            <wp:effectExtent l="0" t="0" r="0" b="0"/>
            <wp:wrapNone/>
            <wp:docPr id="38" name="Objektas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rPr>
          <w:i/>
        </w:rPr>
      </w:pPr>
    </w:p>
    <w:p w:rsidR="00E97ECA" w:rsidRPr="00630125" w:rsidRDefault="00E97ECA" w:rsidP="00E97ECA">
      <w:pPr>
        <w:ind w:firstLine="0"/>
        <w:rPr>
          <w:i/>
        </w:rPr>
      </w:pPr>
    </w:p>
    <w:p w:rsidR="00E97ECA" w:rsidRPr="00630125" w:rsidRDefault="00E97ECA" w:rsidP="00E97ECA">
      <w:pPr>
        <w:ind w:firstLine="0"/>
        <w:rPr>
          <w:i/>
        </w:rPr>
      </w:pPr>
    </w:p>
    <w:p w:rsidR="00E97ECA" w:rsidRPr="00630125" w:rsidRDefault="00E97ECA" w:rsidP="00E97ECA">
      <w:pPr>
        <w:ind w:firstLine="0"/>
        <w:rPr>
          <w:i/>
        </w:rPr>
      </w:pPr>
    </w:p>
    <w:p w:rsidR="00E97ECA" w:rsidRPr="00630125" w:rsidRDefault="00E97ECA" w:rsidP="00E97ECA">
      <w:pPr>
        <w:ind w:firstLine="0"/>
        <w:rPr>
          <w:i/>
        </w:rPr>
      </w:pPr>
    </w:p>
    <w:p w:rsidR="00E97ECA" w:rsidRPr="00630125" w:rsidRDefault="00E97ECA" w:rsidP="00E97ECA">
      <w:pPr>
        <w:ind w:firstLine="0"/>
        <w:rPr>
          <w:i/>
        </w:rPr>
      </w:pPr>
    </w:p>
    <w:p w:rsidR="00E97ECA" w:rsidRPr="00630125" w:rsidRDefault="00E97ECA" w:rsidP="00E97ECA">
      <w:pPr>
        <w:ind w:firstLine="0"/>
        <w:rPr>
          <w:i/>
        </w:rPr>
      </w:pPr>
    </w:p>
    <w:p w:rsidR="00E97ECA" w:rsidRPr="00630125" w:rsidRDefault="00E97ECA" w:rsidP="00E97ECA">
      <w:pPr>
        <w:ind w:firstLine="0"/>
        <w:rPr>
          <w:i/>
        </w:rPr>
      </w:pPr>
    </w:p>
    <w:p w:rsidR="00C56D77" w:rsidRDefault="00C56D77" w:rsidP="006D327D">
      <w:pPr>
        <w:jc w:val="left"/>
      </w:pPr>
      <w:r>
        <w:t>Nu</w:t>
      </w:r>
      <w:r w:rsidR="00EE60E1">
        <w:t>o 2014 m. socialinė pašalpa</w:t>
      </w:r>
      <w:r>
        <w:t xml:space="preserve"> teiki</w:t>
      </w:r>
      <w:r w:rsidR="00EE60E1">
        <w:t>ama</w:t>
      </w:r>
      <w:r>
        <w:t xml:space="preserve"> vykdant savarankiškąją </w:t>
      </w:r>
      <w:r w:rsidR="00EE60E1">
        <w:t>S</w:t>
      </w:r>
      <w:r>
        <w:t xml:space="preserve">avivaldybės funkciją. Socialinės pašalpos buvo svarstomos seniūnijų socialinių pašalpų teikimo komisijose. Atskirų atvejų analizė ir atsakingas paramos teikimas sumažino gavėjų skaičių. Pagrindinis socialinės pašalpos skyrimo tikslas – išvengti piktnaudžiavimo parama atvejų.   </w:t>
      </w:r>
    </w:p>
    <w:p w:rsidR="00E97ECA" w:rsidRPr="00630125" w:rsidRDefault="00E97ECA" w:rsidP="00E97ECA">
      <w:pPr>
        <w:ind w:firstLine="0"/>
        <w:rPr>
          <w:i/>
        </w:rPr>
      </w:pPr>
    </w:p>
    <w:p w:rsidR="00E97ECA" w:rsidRDefault="00FC5048" w:rsidP="00E97ECA">
      <w:pPr>
        <w:ind w:firstLine="0"/>
        <w:rPr>
          <w:i/>
          <w:noProof/>
          <w:lang w:eastAsia="lt-LT"/>
        </w:rPr>
      </w:pPr>
      <w:r w:rsidRPr="00FC5048">
        <w:rPr>
          <w:i/>
          <w:noProof/>
          <w:lang w:eastAsia="lt-LT"/>
        </w:rPr>
        <w:drawing>
          <wp:inline distT="0" distB="0" distL="0" distR="0">
            <wp:extent cx="5677232" cy="3363401"/>
            <wp:effectExtent l="19050" t="0" r="18718" b="8449"/>
            <wp:docPr id="63" name="Objektas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Pr="00CA6EC2" w:rsidRDefault="00C56D77" w:rsidP="006D327D">
      <w:pPr>
        <w:jc w:val="left"/>
      </w:pPr>
      <w:r w:rsidRPr="00CA6EC2">
        <w:t xml:space="preserve">Pagal </w:t>
      </w:r>
      <w:r w:rsidRPr="001875AE">
        <w:rPr>
          <w:i/>
        </w:rPr>
        <w:t>Lietuvos Respublikos valstybinių šalpos išmokų įstatymą</w:t>
      </w:r>
      <w:r w:rsidRPr="00CA6EC2">
        <w:t xml:space="preserve"> buvo mokamos </w:t>
      </w:r>
      <w:r>
        <w:t xml:space="preserve">šalpos (socialinės), šalpos našlaičių </w:t>
      </w:r>
      <w:r w:rsidRPr="00CA6EC2">
        <w:t xml:space="preserve"> </w:t>
      </w:r>
      <w:r>
        <w:t>pensijos, šalpos kompensacijos,</w:t>
      </w:r>
      <w:r w:rsidRPr="00CA6EC2">
        <w:t xml:space="preserve"> slaugos ir priežiūros (pagalbos) išlaidų tikslinės kompensacijos, transporto </w:t>
      </w:r>
      <w:r>
        <w:t xml:space="preserve">išlaidų tikslinės </w:t>
      </w:r>
      <w:r w:rsidRPr="00CA6EC2">
        <w:t>kompen</w:t>
      </w:r>
      <w:r>
        <w:t>sacijos.</w:t>
      </w:r>
    </w:p>
    <w:p w:rsidR="00C56D77" w:rsidRPr="009D3520" w:rsidRDefault="00C56D77" w:rsidP="00C56D77">
      <w:pPr>
        <w:rPr>
          <w:i/>
        </w:rPr>
      </w:pPr>
    </w:p>
    <w:p w:rsidR="00C56D77" w:rsidRDefault="00C56D77" w:rsidP="00C56D77">
      <w:pPr>
        <w:jc w:val="center"/>
        <w:rPr>
          <w:b/>
          <w:bCs/>
        </w:rPr>
      </w:pPr>
      <w:r w:rsidRPr="00F26643">
        <w:rPr>
          <w:b/>
          <w:bCs/>
        </w:rPr>
        <w:t>Šalpos išmokų dina</w:t>
      </w:r>
      <w:r>
        <w:rPr>
          <w:b/>
          <w:bCs/>
        </w:rPr>
        <w:t>mika</w:t>
      </w:r>
    </w:p>
    <w:p w:rsidR="00C56D77" w:rsidRPr="00F26643" w:rsidRDefault="00C56D77" w:rsidP="00C56D77">
      <w:pPr>
        <w:jc w:val="center"/>
        <w:rPr>
          <w:b/>
        </w:rPr>
      </w:pPr>
      <w:r>
        <w:rPr>
          <w:b/>
          <w:bCs/>
        </w:rPr>
        <w:t xml:space="preserve"> (Valstybės biudžeto lėšos)</w:t>
      </w:r>
    </w:p>
    <w:p w:rsidR="00C56D77" w:rsidRDefault="00C56D77" w:rsidP="00E97ECA">
      <w:pPr>
        <w:ind w:firstLine="0"/>
        <w:rPr>
          <w:i/>
          <w:noProof/>
          <w:lang w:eastAsia="lt-LT"/>
        </w:rPr>
      </w:pPr>
    </w:p>
    <w:p w:rsidR="00C56D77" w:rsidRDefault="00C56D77" w:rsidP="00E97ECA">
      <w:pPr>
        <w:ind w:firstLine="0"/>
        <w:rPr>
          <w:i/>
          <w:noProof/>
          <w:lang w:eastAsia="lt-LT"/>
        </w:rPr>
      </w:pPr>
      <w:r>
        <w:rPr>
          <w:i/>
          <w:noProof/>
          <w:lang w:eastAsia="lt-LT"/>
        </w:rPr>
        <w:drawing>
          <wp:anchor distT="176784" distB="212979" distL="242316" distR="262890" simplePos="0" relativeHeight="251679744" behindDoc="0" locked="0" layoutInCell="1" allowOverlap="1">
            <wp:simplePos x="0" y="0"/>
            <wp:positionH relativeFrom="column">
              <wp:posOffset>139065</wp:posOffset>
            </wp:positionH>
            <wp:positionV relativeFrom="paragraph">
              <wp:posOffset>76200</wp:posOffset>
            </wp:positionV>
            <wp:extent cx="5819775" cy="2876550"/>
            <wp:effectExtent l="0" t="0" r="0" b="0"/>
            <wp:wrapNone/>
            <wp:docPr id="41" name="Objektas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p>
    <w:p w:rsidR="00EE60E1" w:rsidRDefault="00EE60E1" w:rsidP="00C56D77"/>
    <w:p w:rsidR="00C56D77" w:rsidRPr="00884530" w:rsidRDefault="00C56D77" w:rsidP="006D327D">
      <w:pPr>
        <w:jc w:val="left"/>
      </w:pPr>
      <w:r w:rsidRPr="00884530">
        <w:lastRenderedPageBreak/>
        <w:t xml:space="preserve">Pagal </w:t>
      </w:r>
      <w:r w:rsidRPr="001875AE">
        <w:rPr>
          <w:i/>
        </w:rPr>
        <w:t>Lietuvos Respublikos išmokų vaikams įstatymą</w:t>
      </w:r>
      <w:r w:rsidRPr="00884530">
        <w:t xml:space="preserve"> </w:t>
      </w:r>
      <w:r>
        <w:t xml:space="preserve">buvo </w:t>
      </w:r>
      <w:r w:rsidRPr="00884530">
        <w:t>mokamos vienkartinės išmokos nėščiai moteriai</w:t>
      </w:r>
      <w:r>
        <w:t>,</w:t>
      </w:r>
      <w:r w:rsidRPr="00884530">
        <w:t xml:space="preserve"> </w:t>
      </w:r>
      <w:r>
        <w:t xml:space="preserve">vienkartinės išmokos </w:t>
      </w:r>
      <w:r w:rsidRPr="00884530">
        <w:t>vaikui, išmokos vaikams,</w:t>
      </w:r>
      <w:r>
        <w:t xml:space="preserve"> vaiko globos (rūpybos) išmokos ir</w:t>
      </w:r>
      <w:r w:rsidRPr="00884530">
        <w:t xml:space="preserve"> vienkartinės išmokos </w:t>
      </w:r>
      <w:r>
        <w:t>būstui įsigyti arba įsikurti</w:t>
      </w:r>
      <w:r w:rsidRPr="00884530">
        <w:t>.</w:t>
      </w:r>
    </w:p>
    <w:p w:rsidR="00C56D77" w:rsidRDefault="00C56D77" w:rsidP="00C56D77">
      <w:pPr>
        <w:jc w:val="center"/>
        <w:rPr>
          <w:b/>
          <w:bCs/>
        </w:rPr>
      </w:pPr>
    </w:p>
    <w:p w:rsidR="00C56D77" w:rsidRDefault="00C56D77" w:rsidP="00C56D77">
      <w:pPr>
        <w:jc w:val="center"/>
        <w:rPr>
          <w:b/>
          <w:bCs/>
        </w:rPr>
      </w:pPr>
      <w:r w:rsidRPr="00884530">
        <w:rPr>
          <w:b/>
          <w:bCs/>
        </w:rPr>
        <w:t>Išmokų vaikams dinamika</w:t>
      </w:r>
    </w:p>
    <w:p w:rsidR="00C56D77" w:rsidRPr="008312DD" w:rsidRDefault="00C56D77" w:rsidP="00C56D77">
      <w:pPr>
        <w:jc w:val="center"/>
      </w:pPr>
      <w:r w:rsidRPr="00884530">
        <w:rPr>
          <w:b/>
          <w:bCs/>
        </w:rPr>
        <w:t>(</w:t>
      </w:r>
      <w:r>
        <w:rPr>
          <w:b/>
          <w:bCs/>
        </w:rPr>
        <w:t>V</w:t>
      </w:r>
      <w:r w:rsidRPr="00884530">
        <w:rPr>
          <w:b/>
          <w:bCs/>
        </w:rPr>
        <w:t>alstybės biudžet</w:t>
      </w:r>
      <w:r>
        <w:rPr>
          <w:b/>
          <w:bCs/>
        </w:rPr>
        <w:t>o lėšos</w:t>
      </w:r>
      <w:r w:rsidRPr="00884530">
        <w:rPr>
          <w:b/>
          <w:bCs/>
        </w:rPr>
        <w:t>)</w:t>
      </w: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Default="00C56D77" w:rsidP="00E97ECA">
      <w:pPr>
        <w:ind w:firstLine="0"/>
        <w:rPr>
          <w:i/>
          <w:noProof/>
          <w:lang w:eastAsia="lt-LT"/>
        </w:rPr>
      </w:pPr>
      <w:r w:rsidRPr="00C56D77">
        <w:rPr>
          <w:i/>
          <w:noProof/>
          <w:lang w:eastAsia="lt-LT"/>
        </w:rPr>
        <w:drawing>
          <wp:inline distT="0" distB="0" distL="0" distR="0">
            <wp:extent cx="5718645" cy="2202511"/>
            <wp:effectExtent l="19050" t="0" r="15405" b="7289"/>
            <wp:docPr id="94" name="Diagrama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56D77" w:rsidRDefault="00C56D77" w:rsidP="00E97ECA">
      <w:pPr>
        <w:ind w:firstLine="0"/>
        <w:rPr>
          <w:i/>
          <w:noProof/>
          <w:lang w:eastAsia="lt-LT"/>
        </w:rPr>
      </w:pPr>
    </w:p>
    <w:p w:rsidR="00C56D77" w:rsidRDefault="00C56D77" w:rsidP="00E97ECA">
      <w:pPr>
        <w:ind w:firstLine="0"/>
        <w:rPr>
          <w:i/>
          <w:noProof/>
          <w:lang w:eastAsia="lt-LT"/>
        </w:rPr>
      </w:pPr>
    </w:p>
    <w:p w:rsidR="00C56D77" w:rsidRPr="008312DD" w:rsidRDefault="00C56D77" w:rsidP="006D327D">
      <w:pPr>
        <w:jc w:val="left"/>
        <w:rPr>
          <w:b/>
          <w:i/>
          <w:color w:val="3366FF"/>
        </w:rPr>
      </w:pPr>
      <w:r w:rsidRPr="009D7E66">
        <w:t xml:space="preserve">Vykdant </w:t>
      </w:r>
      <w:r w:rsidRPr="001875AE">
        <w:rPr>
          <w:i/>
        </w:rPr>
        <w:t xml:space="preserve">Lietuvos Respublikos piniginės socialinės paramos nepasiturintiems gyventojams įstatymą </w:t>
      </w:r>
      <w:r w:rsidRPr="009D7E66">
        <w:t>ir vadovaujantis Savivaldybės patvirtinta paramos teikimo tvarka, buvo skiriamos socialinės pašalpos, kompensacijos už gyvenamojo</w:t>
      </w:r>
      <w:r>
        <w:t xml:space="preserve"> būsto šildymo</w:t>
      </w:r>
      <w:r w:rsidRPr="009D7E66">
        <w:t>, karšt</w:t>
      </w:r>
      <w:r>
        <w:t>o</w:t>
      </w:r>
      <w:r w:rsidRPr="009D7E66">
        <w:t xml:space="preserve"> ir šalt</w:t>
      </w:r>
      <w:r>
        <w:t>o</w:t>
      </w:r>
      <w:r w:rsidRPr="009D7E66">
        <w:t xml:space="preserve"> vanden</w:t>
      </w:r>
      <w:r>
        <w:t xml:space="preserve">s išlaidas, apmokamas kreditas, paimtas daugiabučiam namui atnaujinti (modernizuoti), ir </w:t>
      </w:r>
      <w:r w:rsidRPr="00BB28F3">
        <w:t>palūkanos asmenims, turintiems teisę į būsto šildymo išlaidų kompensaciją.</w:t>
      </w:r>
      <w:r>
        <w:t xml:space="preserve"> </w:t>
      </w:r>
      <w:r w:rsidRPr="00E631AA">
        <w:t xml:space="preserve">Lyginant trijų praėjusių metų duomenis, gavėjų skaičius ir lėšos paramai </w:t>
      </w:r>
      <w:r>
        <w:t xml:space="preserve">(socialinėms pašalpoms ir kompensacijoms) </w:t>
      </w:r>
      <w:r w:rsidRPr="00E631AA">
        <w:t>mažėjo.</w:t>
      </w:r>
      <w:r>
        <w:t xml:space="preserve"> Didėjo apmokamo kredito, paimto daugiabučiam namui atnaujinti, ir palūkanų lėšos.</w:t>
      </w:r>
      <w:r w:rsidRPr="00E631AA">
        <w:t xml:space="preserve"> </w:t>
      </w:r>
    </w:p>
    <w:p w:rsidR="00C56D77" w:rsidRPr="003B4132" w:rsidRDefault="00C56D77" w:rsidP="00C56D77">
      <w:pPr>
        <w:ind w:firstLine="0"/>
        <w:rPr>
          <w:color w:val="3366FF"/>
        </w:rPr>
      </w:pPr>
    </w:p>
    <w:p w:rsidR="00C56D77" w:rsidRPr="003B4132" w:rsidRDefault="00C56D77" w:rsidP="00C56D77">
      <w:pPr>
        <w:rPr>
          <w:bCs/>
          <w:i/>
          <w:color w:val="3366FF"/>
        </w:rPr>
      </w:pPr>
      <w:r w:rsidRPr="009D3520">
        <w:rPr>
          <w:bCs/>
          <w:i/>
          <w:color w:val="3366FF"/>
        </w:rPr>
        <w:t xml:space="preserve">                              </w:t>
      </w:r>
      <w:r w:rsidRPr="00884530">
        <w:rPr>
          <w:b/>
          <w:bCs/>
        </w:rPr>
        <w:t>Piniginė socialinė parama gyventojams</w:t>
      </w:r>
    </w:p>
    <w:p w:rsidR="00C56D77" w:rsidRDefault="00C56D77" w:rsidP="00C56D77">
      <w:pPr>
        <w:jc w:val="center"/>
        <w:rPr>
          <w:b/>
          <w:bCs/>
          <w:szCs w:val="24"/>
        </w:rPr>
      </w:pPr>
      <w:r>
        <w:rPr>
          <w:b/>
          <w:bCs/>
          <w:szCs w:val="24"/>
        </w:rPr>
        <w:t>(Savivaldybės lėšos)</w:t>
      </w:r>
    </w:p>
    <w:p w:rsidR="00C56D77" w:rsidRDefault="00C56D77" w:rsidP="00E97ECA">
      <w:pPr>
        <w:ind w:firstLine="0"/>
        <w:rPr>
          <w:i/>
          <w:noProof/>
          <w:lang w:eastAsia="lt-LT"/>
        </w:rPr>
      </w:pPr>
    </w:p>
    <w:p w:rsidR="00C56D77" w:rsidRDefault="00E97ECA" w:rsidP="00E97ECA">
      <w:pPr>
        <w:ind w:firstLine="0"/>
        <w:rPr>
          <w:i/>
        </w:rPr>
      </w:pPr>
      <w:r w:rsidRPr="00630125">
        <w:rPr>
          <w:i/>
        </w:rPr>
        <w:t xml:space="preserve">           </w:t>
      </w:r>
    </w:p>
    <w:p w:rsidR="00C56D77" w:rsidRDefault="00C56D77" w:rsidP="00E97ECA">
      <w:pPr>
        <w:ind w:firstLine="0"/>
        <w:rPr>
          <w:i/>
        </w:rPr>
      </w:pPr>
      <w:r w:rsidRPr="00C56D77">
        <w:rPr>
          <w:i/>
          <w:noProof/>
          <w:lang w:eastAsia="lt-LT"/>
        </w:rPr>
        <w:drawing>
          <wp:inline distT="0" distB="0" distL="0" distR="0">
            <wp:extent cx="5170943" cy="1327868"/>
            <wp:effectExtent l="19050" t="0" r="10657" b="5632"/>
            <wp:docPr id="95" name="Diagrama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Pr="009D7E66" w:rsidRDefault="00C56D77" w:rsidP="006D327D">
      <w:pPr>
        <w:jc w:val="left"/>
      </w:pPr>
      <w:r w:rsidRPr="009D7E66">
        <w:t xml:space="preserve">Vykdant </w:t>
      </w:r>
      <w:r w:rsidRPr="001875AE">
        <w:rPr>
          <w:i/>
        </w:rPr>
        <w:t>Lietuvos Respublikos socialinės paramos mokiniams įstatymą</w:t>
      </w:r>
      <w:r w:rsidR="00EE60E1">
        <w:rPr>
          <w:i/>
        </w:rPr>
        <w:t xml:space="preserve">, </w:t>
      </w:r>
      <w:r w:rsidRPr="009D7E66">
        <w:t>201</w:t>
      </w:r>
      <w:r>
        <w:t>5</w:t>
      </w:r>
      <w:r w:rsidRPr="009D7E66">
        <w:t xml:space="preserve"> metais </w:t>
      </w:r>
      <w:r>
        <w:t>nemokamą maitinimą ir paramą mokinio reikmenims įsigyti</w:t>
      </w:r>
      <w:r w:rsidRPr="009D7E66">
        <w:t xml:space="preserve"> </w:t>
      </w:r>
      <w:r>
        <w:t>gavo 516 moksleivių. Iš viso panaudota</w:t>
      </w:r>
      <w:r w:rsidRPr="009D7E66">
        <w:t xml:space="preserve"> </w:t>
      </w:r>
      <w:r>
        <w:t>113,9</w:t>
      </w:r>
      <w:r w:rsidRPr="009D7E66">
        <w:t xml:space="preserve"> tūkst. Lt. </w:t>
      </w:r>
      <w:r>
        <w:t>Mokyklose mažėjant mokinių skaičiui, mažėja ir suteikta parama mokiniams. Lyginant su praėjusiais metais</w:t>
      </w:r>
      <w:r w:rsidR="00EE60E1">
        <w:t>,</w:t>
      </w:r>
      <w:r>
        <w:t xml:space="preserve"> išlaidos socialinei paramai mokiniams </w:t>
      </w:r>
      <w:r w:rsidRPr="009D7E66">
        <w:t xml:space="preserve">sumažėjo </w:t>
      </w:r>
      <w:r>
        <w:t>8,0</w:t>
      </w:r>
      <w:r w:rsidRPr="009D7E66">
        <w:t xml:space="preserve"> proc. </w:t>
      </w:r>
    </w:p>
    <w:p w:rsidR="00C56D77" w:rsidRPr="009D3520" w:rsidRDefault="00C56D77" w:rsidP="00C56D77">
      <w:pPr>
        <w:jc w:val="left"/>
        <w:rPr>
          <w:i/>
        </w:rPr>
      </w:pPr>
    </w:p>
    <w:p w:rsidR="00C56D77" w:rsidRPr="00AD67D0" w:rsidRDefault="00C56D77" w:rsidP="00C56D77">
      <w:pPr>
        <w:jc w:val="center"/>
        <w:rPr>
          <w:b/>
          <w:bCs/>
          <w:szCs w:val="24"/>
        </w:rPr>
      </w:pPr>
      <w:r w:rsidRPr="00163B4D">
        <w:rPr>
          <w:b/>
          <w:bCs/>
          <w:szCs w:val="24"/>
        </w:rPr>
        <w:lastRenderedPageBreak/>
        <w:t>Aprūpinimo mokinio reikmenimis ir nemokamo maitinimo dina</w:t>
      </w:r>
      <w:r>
        <w:rPr>
          <w:b/>
          <w:bCs/>
          <w:szCs w:val="24"/>
        </w:rPr>
        <w:t>mika (specialiosios dotacijos valstybės biudžeto lėšos)</w:t>
      </w:r>
    </w:p>
    <w:p w:rsidR="00C56D77" w:rsidRPr="009D3520" w:rsidRDefault="00C56D77" w:rsidP="00C56D77">
      <w:pPr>
        <w:rPr>
          <w:i/>
        </w:rPr>
      </w:pPr>
    </w:p>
    <w:p w:rsidR="00C56D77" w:rsidRDefault="00C56D77" w:rsidP="00E97ECA">
      <w:pPr>
        <w:ind w:firstLine="0"/>
        <w:rPr>
          <w:i/>
        </w:rPr>
      </w:pPr>
    </w:p>
    <w:p w:rsidR="00C56D77" w:rsidRDefault="00C56D77" w:rsidP="00E97ECA">
      <w:pPr>
        <w:ind w:firstLine="0"/>
        <w:rPr>
          <w:i/>
        </w:rPr>
      </w:pPr>
      <w:r>
        <w:rPr>
          <w:i/>
          <w:noProof/>
          <w:lang w:eastAsia="lt-LT"/>
        </w:rPr>
        <w:drawing>
          <wp:anchor distT="182880" distB="211455" distL="224028" distR="325120" simplePos="0" relativeHeight="251681792" behindDoc="0" locked="0" layoutInCell="1" allowOverlap="1">
            <wp:simplePos x="0" y="0"/>
            <wp:positionH relativeFrom="column">
              <wp:posOffset>-594360</wp:posOffset>
            </wp:positionH>
            <wp:positionV relativeFrom="paragraph">
              <wp:posOffset>118110</wp:posOffset>
            </wp:positionV>
            <wp:extent cx="7077075" cy="2809875"/>
            <wp:effectExtent l="0" t="0" r="0" b="0"/>
            <wp:wrapNone/>
            <wp:docPr id="160" name="Objektas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Pr="009D7E66" w:rsidRDefault="00C56D77" w:rsidP="006D327D">
      <w:pPr>
        <w:jc w:val="left"/>
      </w:pPr>
      <w:r w:rsidRPr="009D3520">
        <w:rPr>
          <w:i/>
        </w:rPr>
        <w:t xml:space="preserve">     </w:t>
      </w:r>
      <w:r w:rsidRPr="009D7E66">
        <w:t xml:space="preserve">Savivaldybė </w:t>
      </w:r>
      <w:r>
        <w:t>finansuoja trumpalaikės ir ilgalaikė</w:t>
      </w:r>
      <w:r w:rsidRPr="009D7E66">
        <w:t>s socialin</w:t>
      </w:r>
      <w:r>
        <w:t>ės globos</w:t>
      </w:r>
      <w:r w:rsidRPr="009D7E66">
        <w:t xml:space="preserve"> paslaugas</w:t>
      </w:r>
      <w:r>
        <w:t>.</w:t>
      </w:r>
      <w:r w:rsidRPr="009D7E66">
        <w:t xml:space="preserve"> Kasmet šiai funkcijai vykdyti skiriama lėšų iš Savivaldybės biudžeto.</w:t>
      </w:r>
    </w:p>
    <w:p w:rsidR="00C56D77" w:rsidRPr="009D3520" w:rsidRDefault="00C56D77" w:rsidP="00C56D77">
      <w:pPr>
        <w:rPr>
          <w:i/>
        </w:rPr>
      </w:pPr>
    </w:p>
    <w:p w:rsidR="00C56D77" w:rsidRPr="00C85DD5" w:rsidRDefault="00C56D77" w:rsidP="00C56D77">
      <w:pPr>
        <w:tabs>
          <w:tab w:val="left" w:pos="1005"/>
        </w:tabs>
        <w:rPr>
          <w:b/>
        </w:rPr>
      </w:pPr>
      <w:r>
        <w:rPr>
          <w:b/>
        </w:rPr>
        <w:t xml:space="preserve">                    </w:t>
      </w:r>
      <w:r w:rsidRPr="00C85DD5">
        <w:rPr>
          <w:b/>
        </w:rPr>
        <w:t>Stacionarių socialinių p</w:t>
      </w:r>
      <w:r>
        <w:rPr>
          <w:b/>
        </w:rPr>
        <w:t>aslaugų finansavimas tūkst. eurų</w:t>
      </w: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r>
        <w:rPr>
          <w:i/>
          <w:noProof/>
          <w:lang w:eastAsia="lt-LT"/>
        </w:rPr>
        <w:drawing>
          <wp:anchor distT="158496" distB="194691" distL="297180" distR="116459" simplePos="0" relativeHeight="251683840" behindDoc="0" locked="0" layoutInCell="1" allowOverlap="1">
            <wp:simplePos x="0" y="0"/>
            <wp:positionH relativeFrom="column">
              <wp:posOffset>358141</wp:posOffset>
            </wp:positionH>
            <wp:positionV relativeFrom="paragraph">
              <wp:posOffset>-1270</wp:posOffset>
            </wp:positionV>
            <wp:extent cx="5505450" cy="3343275"/>
            <wp:effectExtent l="0" t="0" r="0" b="0"/>
            <wp:wrapNone/>
            <wp:docPr id="161" name="Objektas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6D327D">
      <w:pPr>
        <w:tabs>
          <w:tab w:val="left" w:pos="1005"/>
        </w:tabs>
        <w:ind w:firstLine="0"/>
        <w:jc w:val="left"/>
      </w:pPr>
      <w:r w:rsidRPr="001C42AA">
        <w:rPr>
          <w:color w:val="3366FF"/>
        </w:rPr>
        <w:t xml:space="preserve">           </w:t>
      </w:r>
      <w:r w:rsidRPr="001C42AA">
        <w:t xml:space="preserve">Neįgaliųjų gyvenimo kokybę stengiamasi pagerinti įvairiomis techninės pagalbos </w:t>
      </w:r>
    </w:p>
    <w:p w:rsidR="00C56D77" w:rsidRPr="001C42AA" w:rsidRDefault="00C56D77" w:rsidP="006D327D">
      <w:pPr>
        <w:tabs>
          <w:tab w:val="left" w:pos="1005"/>
        </w:tabs>
        <w:ind w:firstLine="0"/>
        <w:jc w:val="left"/>
      </w:pPr>
      <w:r w:rsidRPr="001C42AA">
        <w:t>priemonėmis. 201</w:t>
      </w:r>
      <w:r>
        <w:t>5</w:t>
      </w:r>
      <w:r w:rsidRPr="001C42AA">
        <w:t xml:space="preserve"> metais </w:t>
      </w:r>
      <w:r>
        <w:t xml:space="preserve">54 asmenims </w:t>
      </w:r>
      <w:r w:rsidRPr="001C42AA">
        <w:t>išdalint</w:t>
      </w:r>
      <w:r w:rsidR="00EE60E1">
        <w:t xml:space="preserve">os </w:t>
      </w:r>
      <w:r w:rsidRPr="001C42AA">
        <w:t xml:space="preserve"> </w:t>
      </w:r>
      <w:r>
        <w:t>75 techninės pagalbos priemonės (</w:t>
      </w:r>
      <w:r w:rsidRPr="001C42AA">
        <w:t>neįgaliesiems skirti vežimėliai, vaikštynės, ramentai, čiužini</w:t>
      </w:r>
      <w:r>
        <w:t>ai nuo pragulų ir kt.)</w:t>
      </w:r>
    </w:p>
    <w:p w:rsidR="00C56D77" w:rsidRPr="001C42AA" w:rsidRDefault="00C56D77" w:rsidP="006D327D">
      <w:pPr>
        <w:tabs>
          <w:tab w:val="left" w:pos="1005"/>
        </w:tabs>
        <w:jc w:val="left"/>
      </w:pPr>
      <w:r>
        <w:lastRenderedPageBreak/>
        <w:t>Rietavo savivaldybės n</w:t>
      </w:r>
      <w:r w:rsidRPr="001C42AA">
        <w:t>eįgalieji aktyviai dalyvauja meninėje, kultūrinėje, sportinėje veikloje. Šių organizacijų veikla iš dalies finansuojama ir iš Savivaldybės biudžeto.</w:t>
      </w:r>
    </w:p>
    <w:p w:rsidR="00C56D77" w:rsidRPr="009D3520" w:rsidRDefault="00C56D77" w:rsidP="00C56D77">
      <w:pPr>
        <w:tabs>
          <w:tab w:val="left" w:pos="1005"/>
        </w:tabs>
        <w:rPr>
          <w:i/>
        </w:rPr>
      </w:pPr>
    </w:p>
    <w:p w:rsidR="00C56D77" w:rsidRDefault="00C56D77" w:rsidP="00C56D77">
      <w:pPr>
        <w:tabs>
          <w:tab w:val="left" w:pos="1005"/>
        </w:tabs>
        <w:ind w:firstLine="0"/>
        <w:jc w:val="center"/>
        <w:rPr>
          <w:i/>
        </w:rPr>
      </w:pPr>
      <w:r w:rsidRPr="001C42AA">
        <w:rPr>
          <w:b/>
          <w:bCs/>
        </w:rPr>
        <w:t xml:space="preserve">Neįgaliųjų organizacijų rėmimas (tūkst. </w:t>
      </w:r>
      <w:r>
        <w:rPr>
          <w:b/>
          <w:bCs/>
        </w:rPr>
        <w:t>eurų</w:t>
      </w:r>
      <w:r w:rsidRPr="001C42AA">
        <w:rPr>
          <w:b/>
          <w:bCs/>
        </w:rPr>
        <w:t>)</w:t>
      </w:r>
      <w:r w:rsidRPr="001C42AA">
        <w:rPr>
          <w:i/>
        </w:rPr>
        <w:br/>
      </w:r>
    </w:p>
    <w:p w:rsidR="00C56D77" w:rsidRDefault="00C56D77" w:rsidP="00E97ECA">
      <w:pPr>
        <w:ind w:firstLine="0"/>
        <w:rPr>
          <w:i/>
        </w:rPr>
      </w:pPr>
      <w:r>
        <w:rPr>
          <w:i/>
          <w:noProof/>
          <w:lang w:eastAsia="lt-LT"/>
        </w:rPr>
        <w:drawing>
          <wp:anchor distT="188976" distB="200533" distL="248412" distR="286258" simplePos="0" relativeHeight="251685888" behindDoc="0" locked="0" layoutInCell="1" allowOverlap="1">
            <wp:simplePos x="0" y="0"/>
            <wp:positionH relativeFrom="column">
              <wp:posOffset>520065</wp:posOffset>
            </wp:positionH>
            <wp:positionV relativeFrom="paragraph">
              <wp:posOffset>91440</wp:posOffset>
            </wp:positionV>
            <wp:extent cx="5229225" cy="2722245"/>
            <wp:effectExtent l="0" t="0" r="0" b="0"/>
            <wp:wrapNone/>
            <wp:docPr id="162" name="Objektas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C56D77" w:rsidRDefault="00C56D77" w:rsidP="00E97ECA">
      <w:pPr>
        <w:ind w:firstLine="0"/>
        <w:rPr>
          <w:i/>
        </w:rPr>
      </w:pPr>
    </w:p>
    <w:p w:rsidR="00E97ECA" w:rsidRPr="00630125" w:rsidRDefault="00E97ECA" w:rsidP="00E97ECA">
      <w:pPr>
        <w:ind w:firstLine="0"/>
        <w:rPr>
          <w:i/>
        </w:rPr>
      </w:pPr>
      <w:r w:rsidRPr="00630125">
        <w:rPr>
          <w:i/>
        </w:rPr>
        <w:t xml:space="preserve"> </w:t>
      </w: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C56D77">
      <w:pPr>
        <w:ind w:firstLine="0"/>
        <w:jc w:val="center"/>
        <w:rPr>
          <w:b/>
        </w:rPr>
      </w:pPr>
      <w:r w:rsidRPr="00402655">
        <w:rPr>
          <w:b/>
        </w:rPr>
        <w:t>Socialinės</w:t>
      </w:r>
      <w:r>
        <w:t xml:space="preserve"> </w:t>
      </w:r>
      <w:r w:rsidRPr="00402655">
        <w:rPr>
          <w:b/>
        </w:rPr>
        <w:t>reabilitacijos paslaugų neįgaliesiems bendruomenėje projektų</w:t>
      </w:r>
    </w:p>
    <w:p w:rsidR="00C56D77" w:rsidRPr="00402655" w:rsidRDefault="00C56D77" w:rsidP="00C56D77">
      <w:pPr>
        <w:ind w:firstLine="0"/>
        <w:jc w:val="center"/>
        <w:rPr>
          <w:b/>
        </w:rPr>
      </w:pPr>
      <w:r w:rsidRPr="00402655">
        <w:rPr>
          <w:b/>
        </w:rPr>
        <w:t xml:space="preserve"> vykdymas</w:t>
      </w:r>
    </w:p>
    <w:p w:rsidR="00C56D77" w:rsidRPr="00402655" w:rsidRDefault="00C56D77" w:rsidP="00C56D77">
      <w:pPr>
        <w:ind w:firstLine="0"/>
        <w:rPr>
          <w:b/>
        </w:rPr>
      </w:pPr>
    </w:p>
    <w:p w:rsidR="00C56D77" w:rsidRDefault="00C56D77" w:rsidP="006D327D">
      <w:pPr>
        <w:ind w:firstLine="0"/>
        <w:jc w:val="left"/>
      </w:pPr>
      <w:r>
        <w:tab/>
        <w:t>Nuo 2012 metų Socialinės reabilitacijos paslaugų neįgaliesiems bendruomenėje projektai finansuojami per savivaldybes. 2013 metais neįgaliųjų organizacijoms iš Valstybės biudžeto buvo skirta 17,4 tūkst. eurų, 2014 metais 16,5 tūkst. eurų, 2015 m. 15,9 tūkst. eurų. Lėšų paskirstymas pateiktas diagramoje.</w:t>
      </w:r>
    </w:p>
    <w:p w:rsidR="00C56D77" w:rsidRDefault="00C56D77" w:rsidP="00C56D77">
      <w:pPr>
        <w:ind w:firstLine="0"/>
      </w:pPr>
    </w:p>
    <w:p w:rsidR="00C56D77" w:rsidRDefault="00C56D77" w:rsidP="00E97ECA">
      <w:pPr>
        <w:rPr>
          <w:i/>
        </w:rPr>
      </w:pPr>
      <w:r>
        <w:rPr>
          <w:i/>
          <w:noProof/>
          <w:lang w:eastAsia="lt-LT"/>
        </w:rPr>
        <w:drawing>
          <wp:anchor distT="1030224" distB="161163" distL="1016508" distR="1083691" simplePos="0" relativeHeight="251687936" behindDoc="0" locked="0" layoutInCell="1" allowOverlap="1">
            <wp:simplePos x="0" y="0"/>
            <wp:positionH relativeFrom="column">
              <wp:posOffset>729614</wp:posOffset>
            </wp:positionH>
            <wp:positionV relativeFrom="paragraph">
              <wp:posOffset>31115</wp:posOffset>
            </wp:positionV>
            <wp:extent cx="4067175" cy="2466975"/>
            <wp:effectExtent l="0" t="0" r="0" b="0"/>
            <wp:wrapNone/>
            <wp:docPr id="163" name="Objektas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6D327D">
      <w:pPr>
        <w:jc w:val="left"/>
      </w:pPr>
      <w:r w:rsidRPr="001C42AA">
        <w:t xml:space="preserve">Įgyvendinant </w:t>
      </w:r>
      <w:r>
        <w:t xml:space="preserve">Europos pagalbos fondo labiausiai skurstantiems asmenims programą, Savivaldybė dalyvauja kaip projekto partneris. Projekto partneris atsakingas už </w:t>
      </w:r>
      <w:r w:rsidRPr="001C42AA">
        <w:t>maisto</w:t>
      </w:r>
      <w:r>
        <w:t xml:space="preserve"> produktų priėmimą, sandėliavimą, paskirstymą ir dalinimą labiausiai skurstantiems asmenims.</w:t>
      </w:r>
      <w:r w:rsidRPr="001C42AA">
        <w:t xml:space="preserve"> </w:t>
      </w:r>
      <w:r>
        <w:t>2015 metais, b</w:t>
      </w:r>
      <w:r w:rsidRPr="001C42AA">
        <w:t>endradarbiaujant su seniūnijomis</w:t>
      </w:r>
      <w:r>
        <w:t xml:space="preserve">, </w:t>
      </w:r>
      <w:r w:rsidRPr="001C42AA">
        <w:t xml:space="preserve">maisto </w:t>
      </w:r>
      <w:r>
        <w:t xml:space="preserve">produktai buvo dalinami penkis kartus. </w:t>
      </w:r>
    </w:p>
    <w:p w:rsidR="00C56D77" w:rsidRDefault="00C56D77" w:rsidP="00C56D77">
      <w:pPr>
        <w:ind w:firstLine="0"/>
      </w:pPr>
    </w:p>
    <w:p w:rsidR="00C56D77" w:rsidRPr="001C42AA" w:rsidRDefault="00C56D77" w:rsidP="00C56D77">
      <w:pPr>
        <w:ind w:firstLine="0"/>
      </w:pPr>
    </w:p>
    <w:p w:rsidR="00C56D77" w:rsidRPr="009D3520" w:rsidRDefault="00C56D77" w:rsidP="00C56D77">
      <w:pPr>
        <w:ind w:firstLine="0"/>
        <w:jc w:val="center"/>
        <w:rPr>
          <w:i/>
        </w:rPr>
      </w:pPr>
      <w:r>
        <w:rPr>
          <w:b/>
          <w:szCs w:val="24"/>
        </w:rPr>
        <w:t xml:space="preserve">Europos pagalbos fondo </w:t>
      </w:r>
      <w:r w:rsidRPr="001C42AA">
        <w:rPr>
          <w:b/>
          <w:szCs w:val="24"/>
        </w:rPr>
        <w:t xml:space="preserve">labiausiai </w:t>
      </w:r>
      <w:r>
        <w:rPr>
          <w:b/>
          <w:szCs w:val="24"/>
        </w:rPr>
        <w:t>skurstantiems asmenims programa</w:t>
      </w:r>
    </w:p>
    <w:p w:rsidR="00C56D77" w:rsidRDefault="00C56D77" w:rsidP="00E97ECA">
      <w:pPr>
        <w:rPr>
          <w:i/>
        </w:rPr>
      </w:pPr>
    </w:p>
    <w:p w:rsidR="00C56D77" w:rsidRDefault="00C56D77" w:rsidP="00E97ECA">
      <w:pPr>
        <w:rPr>
          <w:i/>
        </w:rPr>
      </w:pPr>
    </w:p>
    <w:p w:rsidR="00C56D77" w:rsidRDefault="00C56D77" w:rsidP="00E97ECA">
      <w:pPr>
        <w:rPr>
          <w:i/>
        </w:rPr>
      </w:pPr>
      <w:r>
        <w:rPr>
          <w:i/>
          <w:noProof/>
          <w:lang w:eastAsia="lt-LT"/>
        </w:rPr>
        <w:drawing>
          <wp:anchor distT="408432" distB="206756" distL="230124" distR="261366" simplePos="0" relativeHeight="251689984" behindDoc="0" locked="0" layoutInCell="1" allowOverlap="1">
            <wp:simplePos x="0" y="0"/>
            <wp:positionH relativeFrom="column">
              <wp:posOffset>-118110</wp:posOffset>
            </wp:positionH>
            <wp:positionV relativeFrom="paragraph">
              <wp:posOffset>24764</wp:posOffset>
            </wp:positionV>
            <wp:extent cx="6324600" cy="2543175"/>
            <wp:effectExtent l="0" t="0" r="0" b="0"/>
            <wp:wrapNone/>
            <wp:docPr id="164" name="Objektas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Pr="001F6AFF" w:rsidRDefault="00C56D77" w:rsidP="00C56D77">
      <w:pPr>
        <w:jc w:val="center"/>
        <w:rPr>
          <w:b/>
          <w:szCs w:val="24"/>
        </w:rPr>
      </w:pPr>
      <w:r w:rsidRPr="001F6AFF">
        <w:rPr>
          <w:b/>
          <w:szCs w:val="24"/>
        </w:rPr>
        <w:t>SVEIKATOS PRIEŽIŪRA</w:t>
      </w:r>
    </w:p>
    <w:p w:rsidR="00C56D77" w:rsidRDefault="00C56D77" w:rsidP="00C56D77">
      <w:pPr>
        <w:ind w:firstLine="0"/>
        <w:rPr>
          <w:i/>
        </w:rPr>
      </w:pPr>
    </w:p>
    <w:p w:rsidR="00C56D77" w:rsidRDefault="00C56D77" w:rsidP="006D327D">
      <w:pPr>
        <w:jc w:val="left"/>
      </w:pPr>
      <w:r w:rsidRPr="00442CC5">
        <w:t xml:space="preserve">Pirminės asmens sveikatos priežiūros paslaugas teikia UAB „Rietavo šeimos daktaras“ ir VšĮ Rietavo pirminės sveikatos priežiūros centras. </w:t>
      </w:r>
      <w:r w:rsidRPr="00DE4AD6">
        <w:t>Prisirašiusiųjų skaičius asmens sve</w:t>
      </w:r>
      <w:r>
        <w:t>ikatos priežiūros įstaigose 2015</w:t>
      </w:r>
      <w:r w:rsidRPr="00DE4AD6">
        <w:t xml:space="preserve"> metais </w:t>
      </w:r>
      <w:r>
        <w:t xml:space="preserve">nežymiai </w:t>
      </w:r>
      <w:r w:rsidRPr="00DE4AD6">
        <w:t>sumažėjo</w:t>
      </w:r>
      <w:r>
        <w:t>.</w:t>
      </w:r>
    </w:p>
    <w:p w:rsidR="00C56D77" w:rsidRPr="00AD67D0" w:rsidRDefault="00C56D77" w:rsidP="00C56D77">
      <w:pPr>
        <w:rPr>
          <w:i/>
        </w:rPr>
      </w:pPr>
    </w:p>
    <w:p w:rsidR="00C56D77" w:rsidRPr="00442CC5" w:rsidRDefault="00C56D77" w:rsidP="00C56D77">
      <w:pPr>
        <w:jc w:val="center"/>
        <w:rPr>
          <w:b/>
        </w:rPr>
      </w:pPr>
      <w:r w:rsidRPr="00442CC5">
        <w:rPr>
          <w:b/>
        </w:rPr>
        <w:t>Pirminės sveikatos priežiūros įstaigose prisirašiusiųjų asmenų skaičiaus dinamika</w:t>
      </w:r>
    </w:p>
    <w:p w:rsidR="00C56D77" w:rsidRDefault="00C56D77" w:rsidP="00C56D77">
      <w:pPr>
        <w:jc w:val="center"/>
        <w:rPr>
          <w:i/>
        </w:rPr>
      </w:pPr>
    </w:p>
    <w:p w:rsidR="00C56D77" w:rsidRDefault="00C56D77" w:rsidP="00E97ECA">
      <w:pPr>
        <w:rPr>
          <w:i/>
        </w:rPr>
      </w:pPr>
      <w:r>
        <w:rPr>
          <w:i/>
          <w:noProof/>
          <w:lang w:eastAsia="lt-LT"/>
        </w:rPr>
        <w:drawing>
          <wp:anchor distT="176784" distB="225298" distL="230124" distR="488696" simplePos="0" relativeHeight="251692032" behindDoc="0" locked="0" layoutInCell="1" allowOverlap="1">
            <wp:simplePos x="0" y="0"/>
            <wp:positionH relativeFrom="column">
              <wp:posOffset>-118110</wp:posOffset>
            </wp:positionH>
            <wp:positionV relativeFrom="paragraph">
              <wp:posOffset>126365</wp:posOffset>
            </wp:positionV>
            <wp:extent cx="6105525" cy="2809875"/>
            <wp:effectExtent l="0" t="0" r="0" b="0"/>
            <wp:wrapNone/>
            <wp:docPr id="165" name="Objektas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EE60E1" w:rsidP="00C56D77">
      <w:pPr>
        <w:jc w:val="center"/>
        <w:rPr>
          <w:i/>
        </w:rPr>
      </w:pPr>
      <w:r w:rsidRPr="00D41722">
        <w:rPr>
          <w:b/>
        </w:rPr>
        <w:t xml:space="preserve">Apsilankymų </w:t>
      </w:r>
      <w:r>
        <w:rPr>
          <w:b/>
        </w:rPr>
        <w:t>p</w:t>
      </w:r>
      <w:r w:rsidR="00C56D77" w:rsidRPr="00D41722">
        <w:rPr>
          <w:b/>
        </w:rPr>
        <w:t>irminės asmens sveikatos priežiūros įstaigose dinamika</w:t>
      </w:r>
    </w:p>
    <w:p w:rsidR="00C56D77" w:rsidRDefault="00C56D77" w:rsidP="00C56D77">
      <w:pPr>
        <w:jc w:val="center"/>
        <w:rPr>
          <w:i/>
        </w:rPr>
      </w:pPr>
    </w:p>
    <w:p w:rsidR="00C56D77" w:rsidRDefault="00C56D77" w:rsidP="00E97ECA">
      <w:pPr>
        <w:rPr>
          <w:i/>
        </w:rPr>
      </w:pPr>
    </w:p>
    <w:p w:rsidR="00C56D77" w:rsidRDefault="00C56D77" w:rsidP="00E97ECA">
      <w:pPr>
        <w:rPr>
          <w:i/>
        </w:rPr>
      </w:pPr>
    </w:p>
    <w:p w:rsidR="00C56D77" w:rsidRDefault="00C56D77" w:rsidP="00E97ECA">
      <w:pPr>
        <w:rPr>
          <w:i/>
        </w:rPr>
      </w:pPr>
      <w:r>
        <w:rPr>
          <w:i/>
          <w:noProof/>
          <w:lang w:eastAsia="lt-LT"/>
        </w:rPr>
        <w:drawing>
          <wp:anchor distT="146304" distB="194818" distL="205740" distR="121412" simplePos="0" relativeHeight="251694080" behindDoc="0" locked="0" layoutInCell="1" allowOverlap="1">
            <wp:simplePos x="0" y="0"/>
            <wp:positionH relativeFrom="column">
              <wp:posOffset>148590</wp:posOffset>
            </wp:positionH>
            <wp:positionV relativeFrom="paragraph">
              <wp:posOffset>-234315</wp:posOffset>
            </wp:positionV>
            <wp:extent cx="5714365" cy="3200400"/>
            <wp:effectExtent l="0" t="0" r="635" b="0"/>
            <wp:wrapNone/>
            <wp:docPr id="166" name="Objektas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E97ECA">
      <w:pPr>
        <w:rPr>
          <w:i/>
        </w:rPr>
      </w:pPr>
    </w:p>
    <w:p w:rsidR="00C56D77" w:rsidRPr="00162CAE" w:rsidRDefault="00C56D77" w:rsidP="00C56D77">
      <w:pPr>
        <w:jc w:val="center"/>
        <w:rPr>
          <w:b/>
        </w:rPr>
      </w:pPr>
      <w:r>
        <w:rPr>
          <w:b/>
        </w:rPr>
        <w:t>Visuomenės sveikatos rėmimo specialioji programa</w:t>
      </w:r>
    </w:p>
    <w:p w:rsidR="00C56D77" w:rsidRDefault="00C56D77" w:rsidP="00C56D77">
      <w:pPr>
        <w:jc w:val="center"/>
        <w:rPr>
          <w:b/>
          <w:i/>
        </w:rPr>
      </w:pPr>
    </w:p>
    <w:p w:rsidR="00C56D77" w:rsidRDefault="00C56D77" w:rsidP="006D327D">
      <w:pPr>
        <w:jc w:val="left"/>
      </w:pPr>
      <w:r w:rsidRPr="009D3520">
        <w:rPr>
          <w:b/>
          <w:i/>
        </w:rPr>
        <w:t xml:space="preserve"> </w:t>
      </w:r>
      <w:r>
        <w:t>Savivaldybėje kasmet į</w:t>
      </w:r>
      <w:r w:rsidRPr="00D41722">
        <w:t>gyvendina</w:t>
      </w:r>
      <w:r>
        <w:t>ma V</w:t>
      </w:r>
      <w:r w:rsidRPr="00D41722">
        <w:t xml:space="preserve">isuomenės sveikatos rėmimo </w:t>
      </w:r>
      <w:r>
        <w:t xml:space="preserve">specialioji </w:t>
      </w:r>
      <w:r w:rsidRPr="00D41722">
        <w:t>programa</w:t>
      </w:r>
      <w:r>
        <w:t>. 2013</w:t>
      </w:r>
      <w:r w:rsidRPr="00D41722">
        <w:t xml:space="preserve"> m. </w:t>
      </w:r>
      <w:r>
        <w:t>programos</w:t>
      </w:r>
      <w:r w:rsidRPr="00D41722">
        <w:t xml:space="preserve"> įgyvendinimui skirta </w:t>
      </w:r>
      <w:r>
        <w:t xml:space="preserve">7,8 tūkst. Eur, 2014 m. – 4,6 tūkst. Eur, 2015 m. </w:t>
      </w:r>
      <w:r w:rsidR="00EE60E1">
        <w:t>–</w:t>
      </w:r>
      <w:r>
        <w:t xml:space="preserve"> 4,9 tūkst. Eur. Įgyvendinant programą</w:t>
      </w:r>
      <w:r w:rsidR="00EE60E1">
        <w:t>,</w:t>
      </w:r>
      <w:r w:rsidRPr="00D41722">
        <w:t xml:space="preserve"> bendradarbiaujama su švietimo, </w:t>
      </w:r>
      <w:r>
        <w:t xml:space="preserve">socialinių paslaugų, </w:t>
      </w:r>
      <w:r w:rsidRPr="00D41722">
        <w:t xml:space="preserve">gydymo įstaigų darbuotojais. Didelis dėmesys skiriamas sveikai gyvensenai, </w:t>
      </w:r>
      <w:r>
        <w:t xml:space="preserve">fiziniam aktyvumui skatinti, </w:t>
      </w:r>
      <w:r w:rsidRPr="00D41722">
        <w:t xml:space="preserve">ligų profilaktikai. </w:t>
      </w:r>
    </w:p>
    <w:p w:rsidR="00C56D77" w:rsidRDefault="00C56D77" w:rsidP="00E97ECA">
      <w:pPr>
        <w:rPr>
          <w:i/>
        </w:rPr>
      </w:pPr>
    </w:p>
    <w:p w:rsidR="00C56D77" w:rsidRDefault="00C56D77" w:rsidP="00E97ECA">
      <w:pPr>
        <w:rPr>
          <w:i/>
        </w:rPr>
      </w:pPr>
    </w:p>
    <w:p w:rsidR="00C56D77" w:rsidRDefault="00C56D77" w:rsidP="00E97ECA">
      <w:pPr>
        <w:rPr>
          <w:i/>
        </w:rPr>
      </w:pPr>
      <w:r w:rsidRPr="00C56D77">
        <w:rPr>
          <w:i/>
          <w:noProof/>
          <w:lang w:eastAsia="lt-LT"/>
        </w:rPr>
        <w:drawing>
          <wp:inline distT="0" distB="0" distL="0" distR="0">
            <wp:extent cx="4261650" cy="2981739"/>
            <wp:effectExtent l="19050" t="0" r="24600" b="9111"/>
            <wp:docPr id="167" name="Diagrama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C56D77" w:rsidRDefault="00C56D77" w:rsidP="00E97ECA">
      <w:pPr>
        <w:rPr>
          <w:i/>
        </w:rPr>
      </w:pPr>
    </w:p>
    <w:p w:rsidR="00C56D77" w:rsidRDefault="00C56D77" w:rsidP="00E97ECA">
      <w:pPr>
        <w:rPr>
          <w:i/>
        </w:rPr>
      </w:pPr>
    </w:p>
    <w:p w:rsidR="00C56D77" w:rsidRDefault="00C56D77" w:rsidP="00E97ECA">
      <w:pPr>
        <w:rPr>
          <w:i/>
        </w:rPr>
      </w:pPr>
    </w:p>
    <w:p w:rsidR="00C56D77" w:rsidRDefault="00C56D77" w:rsidP="00C56D77">
      <w:pPr>
        <w:jc w:val="center"/>
        <w:rPr>
          <w:b/>
        </w:rPr>
      </w:pPr>
      <w:r w:rsidRPr="00D41722">
        <w:rPr>
          <w:b/>
        </w:rPr>
        <w:t xml:space="preserve">Mokinių </w:t>
      </w:r>
      <w:r>
        <w:rPr>
          <w:b/>
        </w:rPr>
        <w:t xml:space="preserve">visuomenės </w:t>
      </w:r>
      <w:r w:rsidRPr="00D41722">
        <w:rPr>
          <w:b/>
        </w:rPr>
        <w:t>sveikatos priežiūros programa</w:t>
      </w:r>
    </w:p>
    <w:p w:rsidR="00C56D77" w:rsidRDefault="00C56D77" w:rsidP="00C56D77">
      <w:pPr>
        <w:jc w:val="center"/>
        <w:rPr>
          <w:b/>
        </w:rPr>
      </w:pPr>
    </w:p>
    <w:p w:rsidR="00C56D77" w:rsidRDefault="00C56D77" w:rsidP="006D327D">
      <w:pPr>
        <w:jc w:val="left"/>
        <w:rPr>
          <w:i/>
        </w:rPr>
      </w:pPr>
      <w:r>
        <w:lastRenderedPageBreak/>
        <w:t xml:space="preserve">Tai </w:t>
      </w:r>
      <w:r w:rsidR="00EE60E1">
        <w:t xml:space="preserve">– </w:t>
      </w:r>
      <w:r>
        <w:t xml:space="preserve">visuomenės sveikatos priežiūra </w:t>
      </w:r>
      <w:r w:rsidR="00EE60E1">
        <w:t>S</w:t>
      </w:r>
      <w:r>
        <w:t>avivaldybės teritorijoje esančiose ikimokyklinio ugdymo, bendrojo ugdymo mokyklose, profesinio mokymo įstaigose ugdomų mokinių pagal ikimokyklinio, priešmokyklinio, pradinio, pagrindinio ir vidurinio ugdymo programas.</w:t>
      </w:r>
    </w:p>
    <w:p w:rsidR="00C56D77" w:rsidRDefault="00C56D77" w:rsidP="00E97ECA">
      <w:pPr>
        <w:rPr>
          <w:i/>
        </w:rPr>
      </w:pPr>
    </w:p>
    <w:p w:rsidR="00EF38C6" w:rsidRDefault="00EF38C6" w:rsidP="00E97ECA">
      <w:pPr>
        <w:rPr>
          <w:i/>
        </w:rPr>
      </w:pPr>
    </w:p>
    <w:p w:rsidR="00EF38C6" w:rsidRDefault="00EF38C6" w:rsidP="00E97ECA">
      <w:pPr>
        <w:rPr>
          <w:i/>
        </w:rPr>
      </w:pPr>
    </w:p>
    <w:p w:rsidR="00EF38C6" w:rsidRDefault="00EF38C6" w:rsidP="00E97ECA">
      <w:pPr>
        <w:rPr>
          <w:i/>
        </w:rPr>
      </w:pPr>
    </w:p>
    <w:p w:rsidR="00EF38C6" w:rsidRDefault="00113DD9" w:rsidP="00E97ECA">
      <w:pPr>
        <w:rPr>
          <w:i/>
        </w:rPr>
      </w:pPr>
      <w:r>
        <w:rPr>
          <w:i/>
          <w:noProof/>
          <w:lang w:eastAsia="lt-LT"/>
        </w:rPr>
        <w:drawing>
          <wp:anchor distT="420624" distB="170561" distL="236220" distR="541782" simplePos="0" relativeHeight="251696128" behindDoc="0" locked="0" layoutInCell="1" allowOverlap="1">
            <wp:simplePos x="0" y="0"/>
            <wp:positionH relativeFrom="column">
              <wp:posOffset>144366</wp:posOffset>
            </wp:positionH>
            <wp:positionV relativeFrom="paragraph">
              <wp:posOffset>-489502</wp:posOffset>
            </wp:positionV>
            <wp:extent cx="5621572" cy="2401294"/>
            <wp:effectExtent l="0" t="0" r="0" b="0"/>
            <wp:wrapNone/>
            <wp:docPr id="168" name="Objektas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p>
    <w:p w:rsidR="00EF38C6" w:rsidRDefault="00EF38C6" w:rsidP="00E97ECA">
      <w:pPr>
        <w:rPr>
          <w:i/>
        </w:rPr>
      </w:pPr>
    </w:p>
    <w:p w:rsidR="00EF38C6" w:rsidRDefault="00EF38C6" w:rsidP="00E97ECA">
      <w:pPr>
        <w:rPr>
          <w:i/>
        </w:rPr>
      </w:pPr>
    </w:p>
    <w:p w:rsidR="00EF38C6" w:rsidRDefault="00EF38C6" w:rsidP="00E97ECA">
      <w:pPr>
        <w:rPr>
          <w:i/>
        </w:rPr>
      </w:pPr>
    </w:p>
    <w:p w:rsidR="00EF38C6" w:rsidRDefault="00EF38C6" w:rsidP="00E97ECA">
      <w:pPr>
        <w:rPr>
          <w:i/>
        </w:rPr>
      </w:pPr>
    </w:p>
    <w:p w:rsidR="00E97ECA" w:rsidRPr="00630125" w:rsidRDefault="00E97ECA" w:rsidP="00E97ECA">
      <w:pPr>
        <w:jc w:val="left"/>
        <w:rPr>
          <w:b/>
          <w:bCs/>
          <w:i/>
          <w:color w:val="3366FF"/>
        </w:rPr>
      </w:pPr>
    </w:p>
    <w:p w:rsidR="00E97ECA" w:rsidRPr="00630125" w:rsidRDefault="00E97ECA" w:rsidP="00E97ECA">
      <w:pPr>
        <w:jc w:val="left"/>
        <w:rPr>
          <w:i/>
        </w:rPr>
      </w:pPr>
      <w:r w:rsidRPr="00630125">
        <w:rPr>
          <w:b/>
          <w:bCs/>
          <w:i/>
          <w:color w:val="3366FF"/>
        </w:rPr>
        <w:t xml:space="preserve">                  </w:t>
      </w:r>
    </w:p>
    <w:p w:rsidR="00E97ECA" w:rsidRPr="00EF38C6" w:rsidRDefault="00E97ECA" w:rsidP="00E97ECA">
      <w:pPr>
        <w:ind w:firstLine="0"/>
        <w:rPr>
          <w:b/>
          <w:szCs w:val="24"/>
        </w:rPr>
      </w:pPr>
      <w:r w:rsidRPr="00630125">
        <w:rPr>
          <w:i/>
        </w:rPr>
        <w:t xml:space="preserve">           </w:t>
      </w:r>
    </w:p>
    <w:p w:rsidR="00113DD9" w:rsidRDefault="00113DD9" w:rsidP="00E97ECA">
      <w:pPr>
        <w:jc w:val="center"/>
        <w:rPr>
          <w:b/>
          <w:szCs w:val="24"/>
        </w:rPr>
      </w:pPr>
    </w:p>
    <w:p w:rsidR="00113DD9" w:rsidRDefault="00113DD9" w:rsidP="00E97ECA">
      <w:pPr>
        <w:jc w:val="center"/>
        <w:rPr>
          <w:b/>
          <w:szCs w:val="24"/>
        </w:rPr>
      </w:pPr>
    </w:p>
    <w:p w:rsidR="00113DD9" w:rsidRDefault="00113DD9" w:rsidP="00E97ECA">
      <w:pPr>
        <w:jc w:val="center"/>
        <w:rPr>
          <w:b/>
          <w:szCs w:val="24"/>
        </w:rPr>
      </w:pPr>
    </w:p>
    <w:p w:rsidR="00113DD9" w:rsidRDefault="00113DD9" w:rsidP="00E97ECA">
      <w:pPr>
        <w:jc w:val="center"/>
        <w:rPr>
          <w:b/>
          <w:szCs w:val="24"/>
        </w:rPr>
      </w:pPr>
    </w:p>
    <w:p w:rsidR="00113DD9" w:rsidRDefault="00113DD9" w:rsidP="00E97ECA">
      <w:pPr>
        <w:jc w:val="center"/>
        <w:rPr>
          <w:b/>
          <w:szCs w:val="24"/>
        </w:rPr>
      </w:pPr>
    </w:p>
    <w:p w:rsidR="00E97ECA" w:rsidRPr="00EF38C6" w:rsidRDefault="00E97ECA" w:rsidP="00E97ECA">
      <w:pPr>
        <w:jc w:val="center"/>
        <w:rPr>
          <w:b/>
          <w:szCs w:val="24"/>
        </w:rPr>
      </w:pPr>
      <w:r w:rsidRPr="00EF38C6">
        <w:rPr>
          <w:b/>
          <w:szCs w:val="24"/>
        </w:rPr>
        <w:t>VAIKO TEISIŲ APSAUGA</w:t>
      </w:r>
    </w:p>
    <w:p w:rsidR="00E97ECA" w:rsidRPr="00630125" w:rsidRDefault="00E97ECA" w:rsidP="00E97ECA">
      <w:pPr>
        <w:jc w:val="center"/>
        <w:rPr>
          <w:b/>
          <w:i/>
          <w:szCs w:val="24"/>
        </w:rPr>
      </w:pPr>
    </w:p>
    <w:p w:rsidR="00EE11E8" w:rsidRDefault="00EE11E8" w:rsidP="006D327D">
      <w:pPr>
        <w:jc w:val="left"/>
        <w:rPr>
          <w:szCs w:val="24"/>
        </w:rPr>
      </w:pPr>
      <w:r w:rsidRPr="00702F63">
        <w:rPr>
          <w:szCs w:val="24"/>
        </w:rPr>
        <w:t>Vaiko teisių apsaugos</w:t>
      </w:r>
      <w:r>
        <w:rPr>
          <w:b/>
          <w:szCs w:val="24"/>
        </w:rPr>
        <w:t xml:space="preserve"> </w:t>
      </w:r>
      <w:r>
        <w:rPr>
          <w:szCs w:val="24"/>
        </w:rPr>
        <w:t>s</w:t>
      </w:r>
      <w:r w:rsidRPr="00B95A66">
        <w:rPr>
          <w:szCs w:val="24"/>
        </w:rPr>
        <w:t xml:space="preserve">kyrius </w:t>
      </w:r>
      <w:r>
        <w:rPr>
          <w:szCs w:val="24"/>
        </w:rPr>
        <w:t>(toliau</w:t>
      </w:r>
      <w:r w:rsidR="00EE60E1">
        <w:rPr>
          <w:szCs w:val="24"/>
        </w:rPr>
        <w:t xml:space="preserve"> – </w:t>
      </w:r>
      <w:r>
        <w:rPr>
          <w:szCs w:val="24"/>
        </w:rPr>
        <w:t xml:space="preserve">Skyrius) </w:t>
      </w:r>
      <w:r w:rsidR="00EE60E1" w:rsidRPr="00B95A66">
        <w:rPr>
          <w:szCs w:val="24"/>
        </w:rPr>
        <w:t>S</w:t>
      </w:r>
      <w:r w:rsidRPr="00B95A66">
        <w:rPr>
          <w:szCs w:val="24"/>
        </w:rPr>
        <w:t>avivaldybės teritorijoje įgyvendina Jungtinių Tautų Organizacijos 1989 metų Vaiko teisių konvencijos nuostatas, vykdo vaiko</w:t>
      </w:r>
      <w:r>
        <w:rPr>
          <w:szCs w:val="24"/>
        </w:rPr>
        <w:t xml:space="preserve"> </w:t>
      </w:r>
      <w:r w:rsidRPr="00B95A66">
        <w:rPr>
          <w:szCs w:val="24"/>
        </w:rPr>
        <w:t>te</w:t>
      </w:r>
      <w:r>
        <w:rPr>
          <w:szCs w:val="24"/>
        </w:rPr>
        <w:t>i</w:t>
      </w:r>
      <w:r w:rsidRPr="00B95A66">
        <w:rPr>
          <w:szCs w:val="24"/>
        </w:rPr>
        <w:t>sių apsaugą, įstatymų nustatyta</w:t>
      </w:r>
      <w:r>
        <w:rPr>
          <w:szCs w:val="24"/>
        </w:rPr>
        <w:t xml:space="preserve"> tvarka gina vaiko teises ir te</w:t>
      </w:r>
      <w:r w:rsidRPr="00B95A66">
        <w:rPr>
          <w:szCs w:val="24"/>
        </w:rPr>
        <w:t>isėt</w:t>
      </w:r>
      <w:r>
        <w:rPr>
          <w:szCs w:val="24"/>
        </w:rPr>
        <w:t>u</w:t>
      </w:r>
      <w:r w:rsidRPr="00B95A66">
        <w:rPr>
          <w:szCs w:val="24"/>
        </w:rPr>
        <w:t>s interesus, organizuoja ir prižiūri likusių be tėvų globos vaikų globą (rūpybą).</w:t>
      </w:r>
      <w:r>
        <w:rPr>
          <w:szCs w:val="24"/>
        </w:rPr>
        <w:t xml:space="preserve"> </w:t>
      </w:r>
    </w:p>
    <w:p w:rsidR="00EE11E8" w:rsidRPr="009C57B8" w:rsidRDefault="00EE11E8" w:rsidP="006D327D">
      <w:pPr>
        <w:jc w:val="left"/>
        <w:rPr>
          <w:szCs w:val="24"/>
        </w:rPr>
      </w:pPr>
      <w:r>
        <w:rPr>
          <w:szCs w:val="24"/>
        </w:rPr>
        <w:t>2015 metais Skyrius</w:t>
      </w:r>
      <w:r w:rsidR="00EE60E1">
        <w:rPr>
          <w:szCs w:val="24"/>
        </w:rPr>
        <w:t>,</w:t>
      </w:r>
      <w:r>
        <w:rPr>
          <w:szCs w:val="24"/>
        </w:rPr>
        <w:t xml:space="preserve"> organizuodamas savo veiklą</w:t>
      </w:r>
      <w:r w:rsidR="00EE60E1">
        <w:rPr>
          <w:szCs w:val="24"/>
        </w:rPr>
        <w:t>,</w:t>
      </w:r>
      <w:r>
        <w:rPr>
          <w:szCs w:val="24"/>
        </w:rPr>
        <w:t xml:space="preserve"> ypatingą dėmesį skyrė s</w:t>
      </w:r>
      <w:r w:rsidRPr="009C57B8">
        <w:rPr>
          <w:szCs w:val="24"/>
        </w:rPr>
        <w:t>ocialinių pasl</w:t>
      </w:r>
      <w:r>
        <w:rPr>
          <w:szCs w:val="24"/>
        </w:rPr>
        <w:t>augų socialinės rizikos šeimoms, auginančioms vaikus, organizavimo efektyvinimui</w:t>
      </w:r>
      <w:r w:rsidRPr="009C57B8">
        <w:rPr>
          <w:szCs w:val="24"/>
        </w:rPr>
        <w:t>.</w:t>
      </w:r>
    </w:p>
    <w:p w:rsidR="00E97ECA" w:rsidRPr="00630125" w:rsidRDefault="00E97ECA" w:rsidP="00E97ECA">
      <w:pPr>
        <w:rPr>
          <w:i/>
          <w:szCs w:val="24"/>
        </w:rPr>
      </w:pPr>
    </w:p>
    <w:p w:rsidR="00E97ECA" w:rsidRPr="00EE11E8" w:rsidRDefault="00E97ECA" w:rsidP="00E97ECA">
      <w:pPr>
        <w:jc w:val="center"/>
        <w:rPr>
          <w:b/>
          <w:szCs w:val="24"/>
        </w:rPr>
      </w:pPr>
      <w:r w:rsidRPr="00EE11E8">
        <w:rPr>
          <w:b/>
          <w:szCs w:val="24"/>
        </w:rPr>
        <w:t>SOCIALINĖS RIZIKOS ŠEIMOS</w:t>
      </w:r>
    </w:p>
    <w:p w:rsidR="00E97ECA" w:rsidRPr="00630125" w:rsidRDefault="00E97ECA" w:rsidP="00E97ECA">
      <w:pPr>
        <w:jc w:val="center"/>
        <w:rPr>
          <w:i/>
          <w:szCs w:val="24"/>
        </w:rPr>
      </w:pPr>
    </w:p>
    <w:p w:rsidR="00EE11E8" w:rsidRDefault="00EE11E8" w:rsidP="006D327D">
      <w:pPr>
        <w:jc w:val="left"/>
        <w:rPr>
          <w:szCs w:val="24"/>
        </w:rPr>
      </w:pPr>
      <w:r>
        <w:rPr>
          <w:szCs w:val="24"/>
        </w:rPr>
        <w:t>Rietavo savivaldybėje gyvenančių vaikų iki 18 me</w:t>
      </w:r>
      <w:r w:rsidR="00963AE3">
        <w:rPr>
          <w:szCs w:val="24"/>
        </w:rPr>
        <w:t>tų skaičius palaipsniui mažėja</w:t>
      </w:r>
      <w:r>
        <w:rPr>
          <w:szCs w:val="24"/>
        </w:rPr>
        <w:t>, tačiau socialinės rizikos šeimų, auginančų vaikus, skaičius išlieka nepakitęs. Pagal 2015 metais atliktą analizę savivaldybėje gyvena 74 socialinės rizikos šeimos, kurio</w:t>
      </w:r>
      <w:r w:rsidR="00963AE3">
        <w:rPr>
          <w:szCs w:val="24"/>
        </w:rPr>
        <w:t>se auga 174 vaikai</w:t>
      </w:r>
      <w:r>
        <w:rPr>
          <w:szCs w:val="24"/>
        </w:rPr>
        <w:t xml:space="preserve">, iš jų nuo gimimo iki septynerių metų </w:t>
      </w:r>
      <w:r w:rsidR="00EE60E1">
        <w:rPr>
          <w:szCs w:val="24"/>
        </w:rPr>
        <w:t>–</w:t>
      </w:r>
      <w:r>
        <w:rPr>
          <w:szCs w:val="24"/>
        </w:rPr>
        <w:t xml:space="preserve"> </w:t>
      </w:r>
      <w:r w:rsidRPr="00CB159C">
        <w:rPr>
          <w:szCs w:val="24"/>
        </w:rPr>
        <w:t xml:space="preserve">49, iki aštuoniolikos metų </w:t>
      </w:r>
      <w:r w:rsidR="00EE60E1">
        <w:rPr>
          <w:szCs w:val="24"/>
        </w:rPr>
        <w:t xml:space="preserve">– </w:t>
      </w:r>
      <w:r w:rsidRPr="00CB159C">
        <w:rPr>
          <w:szCs w:val="24"/>
        </w:rPr>
        <w:t>125.</w:t>
      </w:r>
      <w:r>
        <w:rPr>
          <w:szCs w:val="24"/>
        </w:rPr>
        <w:t xml:space="preserve"> </w:t>
      </w:r>
    </w:p>
    <w:p w:rsidR="00EE11E8" w:rsidRDefault="00EE11E8" w:rsidP="006D327D">
      <w:pPr>
        <w:jc w:val="left"/>
        <w:rPr>
          <w:szCs w:val="24"/>
        </w:rPr>
      </w:pPr>
      <w:r>
        <w:rPr>
          <w:szCs w:val="24"/>
        </w:rPr>
        <w:t xml:space="preserve">Per 2015 metus į socialinės rizikos šeimų, auginančių vaikus, apskaitą naujai įtraukta 14 šeimų, kuriose auga 38 vaikai. </w:t>
      </w:r>
    </w:p>
    <w:p w:rsidR="00EE11E8" w:rsidRDefault="00EE11E8" w:rsidP="006D327D">
      <w:pPr>
        <w:jc w:val="left"/>
        <w:rPr>
          <w:szCs w:val="24"/>
        </w:rPr>
      </w:pPr>
      <w:r>
        <w:rPr>
          <w:szCs w:val="24"/>
        </w:rPr>
        <w:t>Skyriaus darbo su socialinės rizikos šeimomis tikslas – laiku identifikuoti, kad šeima priklauso socialinės rizikos grupei, užtikrinti vaiko saugumą jo biologinėje šeimoje, bendradarbiaujant su Rietavo socialinių paslaugų centru, padėti šeimai įgyti socialinių įgūdžių, patenkinti būtinus šeimos poreikius – saugumą, pastovumą ir vaiko gerovę. Skyriuje renkami duomen</w:t>
      </w:r>
      <w:r w:rsidR="00EE60E1">
        <w:rPr>
          <w:szCs w:val="24"/>
        </w:rPr>
        <w:t>y</w:t>
      </w:r>
      <w:r>
        <w:rPr>
          <w:szCs w:val="24"/>
        </w:rPr>
        <w:t>s apie šeimas, turinčias socialinės rizikos požymių</w:t>
      </w:r>
      <w:r w:rsidR="00EE60E1">
        <w:rPr>
          <w:szCs w:val="24"/>
        </w:rPr>
        <w:t>,</w:t>
      </w:r>
      <w:r>
        <w:rPr>
          <w:szCs w:val="24"/>
        </w:rPr>
        <w:t xml:space="preserve"> t. y. šeim</w:t>
      </w:r>
      <w:r w:rsidR="00EE60E1">
        <w:rPr>
          <w:szCs w:val="24"/>
        </w:rPr>
        <w:t>a</w:t>
      </w:r>
      <w:r>
        <w:rPr>
          <w:szCs w:val="24"/>
        </w:rPr>
        <w:t>s</w:t>
      </w:r>
      <w:r w:rsidR="00EE60E1">
        <w:rPr>
          <w:szCs w:val="24"/>
        </w:rPr>
        <w:t>,</w:t>
      </w:r>
      <w:r>
        <w:rPr>
          <w:szCs w:val="24"/>
        </w:rPr>
        <w:t xml:space="preserve"> kuriose nustatomi pavieniai vaiko teisių pažeidimai, o tėvai skubiai ir atsakingai sprendžia e</w:t>
      </w:r>
      <w:r w:rsidR="00963AE3">
        <w:rPr>
          <w:szCs w:val="24"/>
        </w:rPr>
        <w:t>sančias problemas</w:t>
      </w:r>
      <w:r w:rsidR="00EE60E1">
        <w:rPr>
          <w:szCs w:val="24"/>
        </w:rPr>
        <w:t>.</w:t>
      </w:r>
    </w:p>
    <w:p w:rsidR="00EE11E8" w:rsidRDefault="00EE11E8" w:rsidP="006D327D">
      <w:pPr>
        <w:jc w:val="left"/>
        <w:rPr>
          <w:szCs w:val="24"/>
        </w:rPr>
      </w:pPr>
      <w:r>
        <w:rPr>
          <w:szCs w:val="24"/>
        </w:rPr>
        <w:t>Skyriaus darbuotojai 2015 metais 152 kart</w:t>
      </w:r>
      <w:r w:rsidR="00EE60E1">
        <w:rPr>
          <w:szCs w:val="24"/>
        </w:rPr>
        <w:t>us</w:t>
      </w:r>
      <w:r>
        <w:rPr>
          <w:szCs w:val="24"/>
        </w:rPr>
        <w:t xml:space="preserve"> lankėsi šeimose, surašė 67 šeimų aplankymo, buities ir gyvenimo sąlygų patikrinimo aktus. </w:t>
      </w:r>
    </w:p>
    <w:p w:rsidR="00EE11E8" w:rsidRDefault="00EE60E1" w:rsidP="006D327D">
      <w:pPr>
        <w:jc w:val="left"/>
        <w:rPr>
          <w:szCs w:val="24"/>
        </w:rPr>
      </w:pPr>
      <w:r>
        <w:rPr>
          <w:szCs w:val="24"/>
        </w:rPr>
        <w:t>Vadovaujantis</w:t>
      </w:r>
      <w:r w:rsidR="00EE11E8">
        <w:rPr>
          <w:szCs w:val="24"/>
        </w:rPr>
        <w:t xml:space="preserve"> Vaiko teisių apsaugos pagrindų įstatymo 56 str.</w:t>
      </w:r>
      <w:r>
        <w:rPr>
          <w:szCs w:val="24"/>
        </w:rPr>
        <w:t>,</w:t>
      </w:r>
      <w:r w:rsidR="00EE11E8" w:rsidRPr="00FA3C03">
        <w:rPr>
          <w:szCs w:val="24"/>
        </w:rPr>
        <w:t xml:space="preserve"> </w:t>
      </w:r>
      <w:r w:rsidR="00EE11E8">
        <w:rPr>
          <w:szCs w:val="24"/>
        </w:rPr>
        <w:t xml:space="preserve">dėl iškilusių krizinių situacijų 2015 metais skubiai iš šeimos </w:t>
      </w:r>
      <w:r>
        <w:rPr>
          <w:szCs w:val="24"/>
        </w:rPr>
        <w:t xml:space="preserve">paimti </w:t>
      </w:r>
      <w:r w:rsidR="00EE11E8">
        <w:rPr>
          <w:szCs w:val="24"/>
        </w:rPr>
        <w:t xml:space="preserve">vaikai buvo laikinai apgyvendinami Rietavo socialinių paslaugų centre. </w:t>
      </w:r>
    </w:p>
    <w:p w:rsidR="00EE11E8" w:rsidRPr="00DD7F41" w:rsidRDefault="00EE11E8" w:rsidP="006D327D">
      <w:pPr>
        <w:jc w:val="left"/>
        <w:rPr>
          <w:szCs w:val="24"/>
        </w:rPr>
      </w:pPr>
      <w:r w:rsidRPr="00DD7F41">
        <w:rPr>
          <w:szCs w:val="24"/>
        </w:rPr>
        <w:t xml:space="preserve">Socialinių paslaugų teikimas socialinės rizikos šeimoms </w:t>
      </w:r>
      <w:r w:rsidR="00EE60E1">
        <w:rPr>
          <w:szCs w:val="24"/>
        </w:rPr>
        <w:t xml:space="preserve">– </w:t>
      </w:r>
      <w:r w:rsidRPr="00DD7F41">
        <w:rPr>
          <w:szCs w:val="24"/>
        </w:rPr>
        <w:t>ilgai trunkantis procesas</w:t>
      </w:r>
      <w:r w:rsidR="00EE60E1">
        <w:rPr>
          <w:szCs w:val="24"/>
        </w:rPr>
        <w:t>,</w:t>
      </w:r>
      <w:r w:rsidRPr="00DD7F41">
        <w:rPr>
          <w:szCs w:val="24"/>
        </w:rPr>
        <w:t xml:space="preserve"> kurio metu siekiama išsiaiškinti šeimos problemas, jos stiprybes, silpnybes, siekiant socialinio savarankiškumo. Dažna problema, kad piktnaudžiaujantys alkoholiu asmenys atsisako pagalbos, tuomet nėra galimybių organizuoti jų išblaivinimą ir gydymą. Psichinėmis ligomis sergantiems </w:t>
      </w:r>
      <w:r w:rsidRPr="00DD7F41">
        <w:rPr>
          <w:szCs w:val="24"/>
        </w:rPr>
        <w:lastRenderedPageBreak/>
        <w:t>asmenims, pagalbos suteikti negalima, jeigu asmuo nesikreipia į gydymo įstaigą ar neigia sveikatos sutrikimą. Kita pas</w:t>
      </w:r>
      <w:r w:rsidR="00EE60E1">
        <w:rPr>
          <w:szCs w:val="24"/>
        </w:rPr>
        <w:t>taruoju</w:t>
      </w:r>
      <w:r w:rsidRPr="00DD7F41">
        <w:rPr>
          <w:szCs w:val="24"/>
        </w:rPr>
        <w:t xml:space="preserve"> metu dažna socialinė problema </w:t>
      </w:r>
      <w:r w:rsidR="00EE60E1">
        <w:rPr>
          <w:szCs w:val="24"/>
        </w:rPr>
        <w:t>–</w:t>
      </w:r>
      <w:r w:rsidRPr="00DD7F41">
        <w:rPr>
          <w:szCs w:val="24"/>
        </w:rPr>
        <w:t xml:space="preserve"> socialinių įgūdžių stoka, kai tėvai neturi susiformavusių pagrindinių tėvystės, higienos, darbinių, bendravimo įgūdžių. </w:t>
      </w:r>
    </w:p>
    <w:p w:rsidR="00EE11E8" w:rsidRDefault="00EE11E8" w:rsidP="006D327D">
      <w:pPr>
        <w:jc w:val="left"/>
        <w:rPr>
          <w:szCs w:val="24"/>
        </w:rPr>
      </w:pPr>
      <w:r w:rsidRPr="00DD7F41">
        <w:rPr>
          <w:szCs w:val="24"/>
        </w:rPr>
        <w:t xml:space="preserve"> </w:t>
      </w:r>
      <w:r w:rsidRPr="00F168B0">
        <w:rPr>
          <w:szCs w:val="24"/>
        </w:rPr>
        <w:t xml:space="preserve">Socialines paslaugas socialinės rizikos šeimoms teikia Rietavo socialinių paslaugų centras, kurio veiklą </w:t>
      </w:r>
      <w:r>
        <w:rPr>
          <w:szCs w:val="24"/>
        </w:rPr>
        <w:t xml:space="preserve">administruoja </w:t>
      </w:r>
      <w:r w:rsidRPr="00F168B0">
        <w:rPr>
          <w:szCs w:val="24"/>
        </w:rPr>
        <w:t>Rietavo savivaldybės administracijos Sveikatos, socialinės paramos ir rūpybos skyrius.</w:t>
      </w:r>
      <w:r>
        <w:rPr>
          <w:szCs w:val="24"/>
        </w:rPr>
        <w:t xml:space="preserve"> Rietavo socialinių paslaugų centro socialiniai darbuotojai, darbui su socialinės rizikos šeimomis, Skyriuje konsultuojami dėl iškilusių problemų šeimose. Esant itin sudėtingoms situacijoms Skyrius telkia įvairių sričių specialistus ir koordinuoja socialinio darbo eigą iki problemos išsprendimo arba jos suvaldymo. </w:t>
      </w:r>
    </w:p>
    <w:p w:rsidR="00E97ECA" w:rsidRDefault="00E97ECA" w:rsidP="006D327D">
      <w:pPr>
        <w:jc w:val="left"/>
        <w:rPr>
          <w:i/>
          <w:szCs w:val="24"/>
        </w:rPr>
      </w:pPr>
      <w:r w:rsidRPr="00630125">
        <w:rPr>
          <w:i/>
          <w:szCs w:val="24"/>
        </w:rPr>
        <w:tab/>
      </w: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r w:rsidRPr="00EE11E8">
        <w:rPr>
          <w:i/>
          <w:noProof/>
          <w:szCs w:val="24"/>
          <w:lang w:eastAsia="lt-LT"/>
        </w:rPr>
        <w:drawing>
          <wp:inline distT="0" distB="0" distL="0" distR="0">
            <wp:extent cx="5251118" cy="1630018"/>
            <wp:effectExtent l="19050" t="0" r="25732" b="8282"/>
            <wp:docPr id="16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r w:rsidRPr="00EE11E8">
        <w:rPr>
          <w:i/>
          <w:noProof/>
          <w:szCs w:val="24"/>
          <w:lang w:eastAsia="lt-LT"/>
        </w:rPr>
        <w:drawing>
          <wp:inline distT="0" distB="0" distL="0" distR="0">
            <wp:extent cx="5495676" cy="3458818"/>
            <wp:effectExtent l="19050" t="0" r="9774" b="8282"/>
            <wp:docPr id="170"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r w:rsidRPr="00EE11E8">
        <w:rPr>
          <w:i/>
          <w:noProof/>
          <w:szCs w:val="24"/>
          <w:lang w:eastAsia="lt-LT"/>
        </w:rPr>
        <w:lastRenderedPageBreak/>
        <w:drawing>
          <wp:inline distT="0" distB="0" distL="0" distR="0">
            <wp:extent cx="5496311" cy="1900362"/>
            <wp:effectExtent l="19050" t="0" r="28189" b="4638"/>
            <wp:docPr id="171"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E11E8" w:rsidRDefault="00EE11E8"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EE11E8" w:rsidRDefault="00EE11E8" w:rsidP="00E97ECA">
      <w:pPr>
        <w:rPr>
          <w:i/>
          <w:szCs w:val="24"/>
        </w:rPr>
      </w:pPr>
      <w:r w:rsidRPr="00EE11E8">
        <w:rPr>
          <w:i/>
          <w:noProof/>
          <w:szCs w:val="24"/>
          <w:lang w:eastAsia="lt-LT"/>
        </w:rPr>
        <w:drawing>
          <wp:inline distT="0" distB="0" distL="0" distR="0">
            <wp:extent cx="5440045" cy="1630017"/>
            <wp:effectExtent l="19050" t="0" r="27305" b="8283"/>
            <wp:docPr id="172"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r w:rsidRPr="00EE11E8">
        <w:rPr>
          <w:i/>
          <w:noProof/>
          <w:szCs w:val="24"/>
          <w:lang w:eastAsia="lt-LT"/>
        </w:rPr>
        <w:drawing>
          <wp:inline distT="0" distB="0" distL="0" distR="0">
            <wp:extent cx="5496946" cy="1534601"/>
            <wp:effectExtent l="19050" t="0" r="27554" b="8449"/>
            <wp:docPr id="173"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EE11E8" w:rsidRDefault="00EE11E8" w:rsidP="00E97ECA">
      <w:pPr>
        <w:rPr>
          <w:i/>
          <w:szCs w:val="24"/>
        </w:rPr>
      </w:pPr>
    </w:p>
    <w:p w:rsidR="00EE11E8" w:rsidRDefault="00EE11E8" w:rsidP="00E97ECA">
      <w:pPr>
        <w:rPr>
          <w:i/>
          <w:szCs w:val="24"/>
        </w:rPr>
      </w:pPr>
    </w:p>
    <w:p w:rsidR="00EE11E8" w:rsidRDefault="00EE11E8" w:rsidP="00E97ECA">
      <w:pPr>
        <w:rPr>
          <w:i/>
          <w:szCs w:val="24"/>
        </w:rPr>
      </w:pPr>
    </w:p>
    <w:p w:rsidR="00EE11E8" w:rsidRDefault="00EE11E8" w:rsidP="00EE11E8">
      <w:pPr>
        <w:jc w:val="center"/>
        <w:rPr>
          <w:b/>
          <w:szCs w:val="24"/>
        </w:rPr>
      </w:pPr>
      <w:r w:rsidRPr="00101B21">
        <w:rPr>
          <w:b/>
          <w:szCs w:val="24"/>
        </w:rPr>
        <w:t>BENDRADARBIAVIMAS SU KITOMIS INSTITUCIJOMIS</w:t>
      </w:r>
    </w:p>
    <w:p w:rsidR="00EE60E1" w:rsidRPr="00101B21" w:rsidRDefault="00EE60E1" w:rsidP="00EE11E8">
      <w:pPr>
        <w:jc w:val="center"/>
        <w:rPr>
          <w:b/>
          <w:szCs w:val="24"/>
        </w:rPr>
      </w:pPr>
    </w:p>
    <w:p w:rsidR="00EE11E8" w:rsidRDefault="00EE11E8" w:rsidP="006D327D">
      <w:pPr>
        <w:jc w:val="left"/>
        <w:rPr>
          <w:szCs w:val="24"/>
        </w:rPr>
      </w:pPr>
      <w:r>
        <w:rPr>
          <w:szCs w:val="24"/>
        </w:rPr>
        <w:t xml:space="preserve">2015 </w:t>
      </w:r>
      <w:r w:rsidRPr="00FE284D">
        <w:rPr>
          <w:szCs w:val="24"/>
        </w:rPr>
        <w:t>metais skyriaus darbuotojai taikė tarpdisciplininės komandos metodą, kuris pasiteisina dirbant su socialinės rizikos šeimomis</w:t>
      </w:r>
      <w:r w:rsidR="00EE60E1">
        <w:rPr>
          <w:szCs w:val="24"/>
        </w:rPr>
        <w:t>,</w:t>
      </w:r>
      <w:r w:rsidRPr="00FE284D">
        <w:rPr>
          <w:szCs w:val="24"/>
        </w:rPr>
        <w:t xml:space="preserve"> siekiant efektyvaus problemos išsprendimo</w:t>
      </w:r>
      <w:r>
        <w:rPr>
          <w:szCs w:val="24"/>
        </w:rPr>
        <w:t xml:space="preserve"> ar jos suvaldymo</w:t>
      </w:r>
      <w:r w:rsidRPr="00FE284D">
        <w:rPr>
          <w:szCs w:val="24"/>
        </w:rPr>
        <w:t>.</w:t>
      </w:r>
      <w:r>
        <w:rPr>
          <w:szCs w:val="24"/>
        </w:rPr>
        <w:t xml:space="preserve"> Savivaldybėje stokojama socialinių (vaikų dienos centrų seniūnijose, krizių centrų, anoniminių alkoholikų grupių) medicininių (vaikų psichologo, psichiatro, neurologo) paslaugų vaikui ir jo šeimai.</w:t>
      </w:r>
    </w:p>
    <w:p w:rsidR="00EE11E8" w:rsidRPr="00E62975" w:rsidRDefault="00EE11E8" w:rsidP="00EE11E8">
      <w:pPr>
        <w:tabs>
          <w:tab w:val="left" w:pos="2241"/>
        </w:tabs>
        <w:rPr>
          <w:szCs w:val="24"/>
        </w:rPr>
      </w:pPr>
    </w:p>
    <w:p w:rsidR="00EE11E8" w:rsidRDefault="00EE11E8" w:rsidP="00EE11E8">
      <w:pPr>
        <w:keepNext/>
        <w:rPr>
          <w:szCs w:val="24"/>
        </w:rPr>
      </w:pPr>
      <w:r w:rsidRPr="00D20D1F">
        <w:rPr>
          <w:noProof/>
          <w:szCs w:val="24"/>
          <w:lang w:eastAsia="lt-LT"/>
        </w:rPr>
        <w:lastRenderedPageBreak/>
        <w:drawing>
          <wp:inline distT="0" distB="0" distL="0" distR="0">
            <wp:extent cx="5594571" cy="2313830"/>
            <wp:effectExtent l="19050" t="0" r="6129" b="0"/>
            <wp:docPr id="175"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r>
        <w:rPr>
          <w:szCs w:val="24"/>
        </w:rPr>
        <w:tab/>
      </w:r>
    </w:p>
    <w:p w:rsidR="00EE11E8" w:rsidRDefault="00EE11E8" w:rsidP="00E97ECA">
      <w:pPr>
        <w:rPr>
          <w:i/>
          <w:szCs w:val="24"/>
        </w:rPr>
      </w:pPr>
    </w:p>
    <w:p w:rsidR="00113DD9" w:rsidRDefault="00113DD9" w:rsidP="006D327D">
      <w:pPr>
        <w:keepNext/>
        <w:jc w:val="left"/>
      </w:pPr>
      <w:r>
        <w:rPr>
          <w:szCs w:val="24"/>
        </w:rPr>
        <w:t>Vykdant skyriaus funkcijas ir sprendžiant konkrečias šeimų, vaikų problemas</w:t>
      </w:r>
      <w:r w:rsidR="00EE60E1">
        <w:rPr>
          <w:szCs w:val="24"/>
        </w:rPr>
        <w:t>,</w:t>
      </w:r>
      <w:r>
        <w:rPr>
          <w:szCs w:val="24"/>
        </w:rPr>
        <w:t xml:space="preserve"> glaudžiai bendradarbiauta su Rietavo socialinių paslaugų centru. Daug dėmesio skirta socialinio darbuotojo kompetencijai didinti, organizuoti specializuoti pasitarimai.</w:t>
      </w:r>
    </w:p>
    <w:p w:rsidR="00113DD9" w:rsidRPr="00D75584" w:rsidRDefault="00113DD9" w:rsidP="006D327D">
      <w:pPr>
        <w:keepNext/>
        <w:jc w:val="left"/>
      </w:pPr>
      <w:r>
        <w:rPr>
          <w:szCs w:val="24"/>
        </w:rPr>
        <w:t>Tęsiamas bendradarbiavimas su ugdymo įstaigomis</w:t>
      </w:r>
      <w:r w:rsidR="00EE60E1">
        <w:rPr>
          <w:szCs w:val="24"/>
        </w:rPr>
        <w:t xml:space="preserve"> –</w:t>
      </w:r>
      <w:r>
        <w:rPr>
          <w:szCs w:val="24"/>
        </w:rPr>
        <w:t xml:space="preserve"> į mokyklose esančias priešmokyklines ugdymo grupes nukreipti vaikai, kuriems dėl susiklosčiusių nepalankių sąlygų šeimoje reikalinga ankstyva kompleksinė socialinė, pedagoginė pagalba. </w:t>
      </w:r>
    </w:p>
    <w:p w:rsidR="00113DD9" w:rsidRDefault="00113DD9" w:rsidP="006D327D">
      <w:pPr>
        <w:ind w:left="-57"/>
        <w:jc w:val="left"/>
        <w:rPr>
          <w:szCs w:val="24"/>
        </w:rPr>
      </w:pPr>
      <w:r>
        <w:rPr>
          <w:szCs w:val="24"/>
        </w:rPr>
        <w:tab/>
        <w:t>Sprendžiant vaikų ir jų tėvų sveikatos problemas</w:t>
      </w:r>
      <w:r w:rsidR="00EE60E1">
        <w:rPr>
          <w:szCs w:val="24"/>
        </w:rPr>
        <w:t>,</w:t>
      </w:r>
      <w:r>
        <w:rPr>
          <w:szCs w:val="24"/>
        </w:rPr>
        <w:t xml:space="preserve"> bendradarbiaujama su šeimos gydytojais, VšĮ Rietavo pirminės sveikatos priežiūros centro gydytoju psichiatru, psichologu-psichoterapeutu. Glaudūs ryšiai palaikomi ir keičiamasi informacija su Klaipėdos tuberkuliozine ligonine, Respublikinės Klaipėdos ligoninės psichiatrijos filialu. Siekiame, kad priklausomybinėmis ligomis sergantys ir </w:t>
      </w:r>
      <w:r w:rsidR="00EE60E1">
        <w:rPr>
          <w:szCs w:val="24"/>
        </w:rPr>
        <w:t xml:space="preserve">vaikus </w:t>
      </w:r>
      <w:r>
        <w:rPr>
          <w:szCs w:val="24"/>
        </w:rPr>
        <w:t>auginantys asmenys būtų gydomi, o baigę gydymą dalyvautų anoniminių alkoholikų susirinkimuose, motyvuojama konsultuotis su psichologu, psichiatru. Tęsiamas bendradarbiavimas su Telšių krizių centru</w:t>
      </w:r>
      <w:r w:rsidR="00EE60E1">
        <w:rPr>
          <w:szCs w:val="24"/>
        </w:rPr>
        <w:t>,</w:t>
      </w:r>
      <w:r>
        <w:rPr>
          <w:szCs w:val="24"/>
        </w:rPr>
        <w:t xml:space="preserve"> teikiant psichologinę pagalbą socialinės rizikos šeimoms ir jų vaikams, seniūnijų darbuotojais, Rietavo policijos komisariatu, Plungės r. apylinkės teismu, </w:t>
      </w:r>
      <w:r w:rsidRPr="00523EB9">
        <w:rPr>
          <w:szCs w:val="24"/>
        </w:rPr>
        <w:t>Klaipėdos regiono pataisos ins</w:t>
      </w:r>
      <w:r>
        <w:rPr>
          <w:szCs w:val="24"/>
        </w:rPr>
        <w:t>p</w:t>
      </w:r>
      <w:r w:rsidRPr="00523EB9">
        <w:rPr>
          <w:szCs w:val="24"/>
        </w:rPr>
        <w:t xml:space="preserve">ekcijos </w:t>
      </w:r>
      <w:r>
        <w:rPr>
          <w:szCs w:val="24"/>
        </w:rPr>
        <w:t>Plungės r. pataisos inspekcijos</w:t>
      </w:r>
      <w:r w:rsidRPr="00523EB9">
        <w:rPr>
          <w:szCs w:val="24"/>
        </w:rPr>
        <w:t xml:space="preserve"> </w:t>
      </w:r>
      <w:r>
        <w:rPr>
          <w:szCs w:val="24"/>
        </w:rPr>
        <w:t>pareigūnais keičiantis informacija ir lankant nepilnamečius</w:t>
      </w:r>
      <w:r w:rsidRPr="00523EB9">
        <w:rPr>
          <w:szCs w:val="24"/>
        </w:rPr>
        <w:t xml:space="preserve"> </w:t>
      </w:r>
      <w:r>
        <w:rPr>
          <w:szCs w:val="24"/>
        </w:rPr>
        <w:t>ir asmenis, turinčius nepilnamečių vaikų, esančius pataisos inspekcijos įskaitoje. Plungės socialinių paslaugų centras pagal sutartį teikė paslaugas asmenims norintiems globoti ar įvaikinti vaiką.</w:t>
      </w:r>
    </w:p>
    <w:p w:rsidR="00113DD9" w:rsidRDefault="00113DD9" w:rsidP="00113DD9">
      <w:pPr>
        <w:pStyle w:val="Sraopastraipa"/>
        <w:jc w:val="center"/>
        <w:rPr>
          <w:szCs w:val="24"/>
        </w:rPr>
      </w:pPr>
    </w:p>
    <w:p w:rsidR="00113DD9" w:rsidRDefault="00113DD9" w:rsidP="00113DD9">
      <w:pPr>
        <w:pStyle w:val="Sraopastraipa"/>
        <w:ind w:left="0"/>
        <w:jc w:val="center"/>
        <w:rPr>
          <w:b/>
          <w:szCs w:val="24"/>
        </w:rPr>
      </w:pPr>
      <w:r w:rsidRPr="00BD3CD5">
        <w:rPr>
          <w:b/>
          <w:szCs w:val="24"/>
        </w:rPr>
        <w:t>VAIKO GLOBA (RŪPYBA)</w:t>
      </w:r>
    </w:p>
    <w:p w:rsidR="00EE60E1" w:rsidRPr="00BD3CD5" w:rsidRDefault="00EE60E1" w:rsidP="00113DD9">
      <w:pPr>
        <w:pStyle w:val="Sraopastraipa"/>
        <w:ind w:left="0"/>
        <w:jc w:val="center"/>
        <w:rPr>
          <w:b/>
          <w:szCs w:val="24"/>
        </w:rPr>
      </w:pPr>
    </w:p>
    <w:p w:rsidR="00113DD9" w:rsidRDefault="00113DD9" w:rsidP="006D327D">
      <w:pPr>
        <w:jc w:val="left"/>
        <w:rPr>
          <w:szCs w:val="24"/>
        </w:rPr>
      </w:pPr>
      <w:r>
        <w:rPr>
          <w:szCs w:val="24"/>
        </w:rPr>
        <w:t xml:space="preserve">Organizuojant </w:t>
      </w:r>
      <w:r w:rsidR="00EE60E1">
        <w:rPr>
          <w:szCs w:val="24"/>
        </w:rPr>
        <w:t xml:space="preserve">globą (rūpybą) </w:t>
      </w:r>
      <w:r>
        <w:rPr>
          <w:szCs w:val="24"/>
        </w:rPr>
        <w:t>likusiems be tėvų globos (rūpybos) vaikams</w:t>
      </w:r>
      <w:r w:rsidR="00EE60E1">
        <w:rPr>
          <w:szCs w:val="24"/>
        </w:rPr>
        <w:t>,</w:t>
      </w:r>
      <w:r>
        <w:rPr>
          <w:szCs w:val="24"/>
        </w:rPr>
        <w:t xml:space="preserve"> prioritetas teikiamas vaiko globai (rūpybai) šeimoje, brolių ar seserų neišskyrimui.  Pastebime, kad dažniausiai vaikus globoja (rūpina) giminaičiai ar asmenys</w:t>
      </w:r>
      <w:r w:rsidR="00EE60E1">
        <w:rPr>
          <w:szCs w:val="24"/>
        </w:rPr>
        <w:t>,</w:t>
      </w:r>
      <w:r>
        <w:rPr>
          <w:szCs w:val="24"/>
        </w:rPr>
        <w:t xml:space="preserve"> iš anksčiau turėję artimus ryšius su vaiku, o mažėjantį globojamų (rūpinamų) vaikų skaičių įtakoja socialinis darbas su socialinės rizikos šeimomis, auginančiomis vaikus. </w:t>
      </w:r>
    </w:p>
    <w:p w:rsidR="00113DD9" w:rsidRDefault="00113DD9" w:rsidP="006D327D">
      <w:pPr>
        <w:jc w:val="left"/>
        <w:rPr>
          <w:szCs w:val="24"/>
        </w:rPr>
      </w:pPr>
      <w:r w:rsidRPr="006645C0">
        <w:rPr>
          <w:szCs w:val="24"/>
        </w:rPr>
        <w:t xml:space="preserve">Rietavo savivaldybėje </w:t>
      </w:r>
      <w:r>
        <w:rPr>
          <w:szCs w:val="24"/>
        </w:rPr>
        <w:t>2015</w:t>
      </w:r>
      <w:r w:rsidRPr="006645C0">
        <w:rPr>
          <w:szCs w:val="24"/>
        </w:rPr>
        <w:t xml:space="preserve"> metų pabaigoje buvo 2</w:t>
      </w:r>
      <w:r>
        <w:rPr>
          <w:szCs w:val="24"/>
        </w:rPr>
        <w:t>1</w:t>
      </w:r>
      <w:r w:rsidRPr="006645C0">
        <w:rPr>
          <w:szCs w:val="24"/>
        </w:rPr>
        <w:t xml:space="preserve"> vaika</w:t>
      </w:r>
      <w:r>
        <w:rPr>
          <w:szCs w:val="24"/>
        </w:rPr>
        <w:t>s</w:t>
      </w:r>
      <w:r w:rsidR="00EE60E1">
        <w:rPr>
          <w:szCs w:val="24"/>
        </w:rPr>
        <w:t>,</w:t>
      </w:r>
      <w:r w:rsidRPr="006645C0">
        <w:rPr>
          <w:szCs w:val="24"/>
        </w:rPr>
        <w:t xml:space="preserve"> likę</w:t>
      </w:r>
      <w:r>
        <w:rPr>
          <w:szCs w:val="24"/>
        </w:rPr>
        <w:t>s</w:t>
      </w:r>
      <w:r w:rsidRPr="006645C0">
        <w:rPr>
          <w:szCs w:val="24"/>
        </w:rPr>
        <w:t xml:space="preserve"> be tėvų globos (rūpybos), iš jų šeimose g</w:t>
      </w:r>
      <w:r>
        <w:rPr>
          <w:szCs w:val="24"/>
        </w:rPr>
        <w:t>lobojama (rūpinama) 15</w:t>
      </w:r>
      <w:r w:rsidRPr="006645C0">
        <w:rPr>
          <w:szCs w:val="24"/>
        </w:rPr>
        <w:t xml:space="preserve"> vaikų.</w:t>
      </w:r>
      <w:r>
        <w:rPr>
          <w:szCs w:val="24"/>
        </w:rPr>
        <w:t xml:space="preserve"> 6</w:t>
      </w:r>
      <w:r w:rsidRPr="006645C0">
        <w:rPr>
          <w:szCs w:val="24"/>
        </w:rPr>
        <w:t xml:space="preserve"> vaikai globojami (rūpinami) vaikų globos institucijose</w:t>
      </w:r>
      <w:r>
        <w:rPr>
          <w:szCs w:val="24"/>
        </w:rPr>
        <w:t xml:space="preserve"> (įskaitant </w:t>
      </w:r>
      <w:r w:rsidRPr="006645C0">
        <w:rPr>
          <w:szCs w:val="24"/>
        </w:rPr>
        <w:t>kūdikių namus</w:t>
      </w:r>
      <w:r>
        <w:rPr>
          <w:szCs w:val="24"/>
        </w:rPr>
        <w:t xml:space="preserve"> ir socialinės globos namus vaikams su negalia</w:t>
      </w:r>
      <w:r w:rsidRPr="006645C0">
        <w:rPr>
          <w:szCs w:val="24"/>
        </w:rPr>
        <w:t>).</w:t>
      </w:r>
    </w:p>
    <w:p w:rsidR="00113DD9" w:rsidRPr="00DF3EDB" w:rsidRDefault="00113DD9" w:rsidP="006D327D">
      <w:pPr>
        <w:jc w:val="left"/>
        <w:rPr>
          <w:b/>
          <w:szCs w:val="24"/>
        </w:rPr>
      </w:pPr>
      <w:r w:rsidRPr="005C01BE">
        <w:rPr>
          <w:szCs w:val="24"/>
        </w:rPr>
        <w:t xml:space="preserve">Siekiant užtikrinti, kad likę be tėvų globos (rūpybos) vaikai būtų auginami globėjų (rūpintojų) šeimose bendradarbiaujant su Rietavo socialinių paslaugų centru, </w:t>
      </w:r>
      <w:r>
        <w:rPr>
          <w:szCs w:val="24"/>
        </w:rPr>
        <w:t xml:space="preserve">Plungės socialinių paslaugų centru, </w:t>
      </w:r>
      <w:r w:rsidRPr="005C01BE">
        <w:rPr>
          <w:szCs w:val="24"/>
        </w:rPr>
        <w:t>seniūnijomis</w:t>
      </w:r>
      <w:r w:rsidR="00EE60E1">
        <w:rPr>
          <w:szCs w:val="24"/>
        </w:rPr>
        <w:t>,</w:t>
      </w:r>
      <w:r w:rsidRPr="005C01BE">
        <w:rPr>
          <w:szCs w:val="24"/>
        </w:rPr>
        <w:t xml:space="preserve"> </w:t>
      </w:r>
      <w:r w:rsidR="00EE60E1">
        <w:rPr>
          <w:szCs w:val="24"/>
        </w:rPr>
        <w:t>ieškoma globėjų (rūpintojų)</w:t>
      </w:r>
      <w:r>
        <w:rPr>
          <w:szCs w:val="24"/>
        </w:rPr>
        <w:t>, tačiau esant bendrai neigiamai visuomenės nuomonei į vaiko globą</w:t>
      </w:r>
      <w:r w:rsidR="00EE60E1">
        <w:rPr>
          <w:szCs w:val="24"/>
        </w:rPr>
        <w:t>,</w:t>
      </w:r>
      <w:r w:rsidRPr="00BD1A48">
        <w:rPr>
          <w:szCs w:val="24"/>
        </w:rPr>
        <w:t xml:space="preserve"> itin </w:t>
      </w:r>
      <w:r>
        <w:rPr>
          <w:szCs w:val="24"/>
        </w:rPr>
        <w:t>didelę globėjo (rūpintojo) atsakomybę ir atskaitomybę, pas</w:t>
      </w:r>
      <w:r w:rsidR="00EE60E1">
        <w:rPr>
          <w:szCs w:val="24"/>
        </w:rPr>
        <w:t>taruoju</w:t>
      </w:r>
      <w:r>
        <w:rPr>
          <w:szCs w:val="24"/>
        </w:rPr>
        <w:t xml:space="preserve"> metu vaiko globėjais dažnai tampama tik „iš reikalo“ ir tokiais atvejais globėjai tampa seneliai ar kiti giminaičiai.</w:t>
      </w:r>
    </w:p>
    <w:p w:rsidR="00113DD9" w:rsidRDefault="00113DD9" w:rsidP="006D327D">
      <w:pPr>
        <w:jc w:val="left"/>
        <w:rPr>
          <w:szCs w:val="24"/>
        </w:rPr>
      </w:pPr>
      <w:r w:rsidRPr="00A13933">
        <w:rPr>
          <w:szCs w:val="24"/>
        </w:rPr>
        <w:t>Dažniausiai likusiais be tėvų globos (rūpybos) vaikais rūpinasi giminaičiai. Dominuojantis vaikų globėjų (rūpintojų) amžius</w:t>
      </w:r>
      <w:r>
        <w:rPr>
          <w:szCs w:val="24"/>
        </w:rPr>
        <w:t xml:space="preserve"> </w:t>
      </w:r>
      <w:r w:rsidR="00EA375E">
        <w:rPr>
          <w:szCs w:val="24"/>
        </w:rPr>
        <w:t xml:space="preserve">– </w:t>
      </w:r>
      <w:r>
        <w:rPr>
          <w:szCs w:val="24"/>
        </w:rPr>
        <w:t>nuo 56 iki 6</w:t>
      </w:r>
      <w:r w:rsidRPr="00A13933">
        <w:rPr>
          <w:szCs w:val="24"/>
        </w:rPr>
        <w:t>5 metų</w:t>
      </w:r>
      <w:r>
        <w:rPr>
          <w:szCs w:val="24"/>
        </w:rPr>
        <w:t xml:space="preserve"> ir vyresni</w:t>
      </w:r>
      <w:r w:rsidRPr="00A13933">
        <w:rPr>
          <w:szCs w:val="24"/>
        </w:rPr>
        <w:t xml:space="preserve">. Organizuojant globą (rūpybą) </w:t>
      </w:r>
      <w:r w:rsidRPr="00A13933">
        <w:rPr>
          <w:szCs w:val="24"/>
        </w:rPr>
        <w:lastRenderedPageBreak/>
        <w:t>vaikams</w:t>
      </w:r>
      <w:r w:rsidR="00EA375E">
        <w:rPr>
          <w:szCs w:val="24"/>
        </w:rPr>
        <w:t>,</w:t>
      </w:r>
      <w:r w:rsidRPr="00A13933">
        <w:rPr>
          <w:szCs w:val="24"/>
        </w:rPr>
        <w:t xml:space="preserve"> stengiamasi užtikrinti, kad seserys ir broliai nebūtų išskirti. </w:t>
      </w:r>
      <w:r>
        <w:rPr>
          <w:szCs w:val="24"/>
        </w:rPr>
        <w:t>Vis mažiau globėjų ryžt</w:t>
      </w:r>
      <w:r w:rsidR="00EA375E">
        <w:rPr>
          <w:szCs w:val="24"/>
        </w:rPr>
        <w:t>a</w:t>
      </w:r>
      <w:r>
        <w:rPr>
          <w:szCs w:val="24"/>
        </w:rPr>
        <w:t>si globoti daugiau ne</w:t>
      </w:r>
      <w:r w:rsidR="00EA375E">
        <w:rPr>
          <w:szCs w:val="24"/>
        </w:rPr>
        <w:t>gu</w:t>
      </w:r>
      <w:r>
        <w:rPr>
          <w:szCs w:val="24"/>
        </w:rPr>
        <w:t xml:space="preserve"> 1 vaiką (2015 m. 2 šeimos</w:t>
      </w:r>
      <w:r w:rsidRPr="00A13933">
        <w:rPr>
          <w:szCs w:val="24"/>
        </w:rPr>
        <w:t xml:space="preserve"> globojo (rūpino) </w:t>
      </w:r>
      <w:r>
        <w:rPr>
          <w:szCs w:val="24"/>
        </w:rPr>
        <w:t xml:space="preserve">po </w:t>
      </w:r>
      <w:r w:rsidRPr="00A13933">
        <w:rPr>
          <w:szCs w:val="24"/>
        </w:rPr>
        <w:t>2 vaikus</w:t>
      </w:r>
      <w:r>
        <w:rPr>
          <w:szCs w:val="24"/>
        </w:rPr>
        <w:t>)</w:t>
      </w:r>
      <w:r w:rsidRPr="00A13933">
        <w:rPr>
          <w:szCs w:val="24"/>
        </w:rPr>
        <w:t>.</w:t>
      </w:r>
    </w:p>
    <w:p w:rsidR="00113DD9" w:rsidRDefault="00113DD9" w:rsidP="006D327D">
      <w:pPr>
        <w:jc w:val="left"/>
        <w:rPr>
          <w:szCs w:val="24"/>
        </w:rPr>
      </w:pPr>
      <w:r>
        <w:rPr>
          <w:szCs w:val="24"/>
        </w:rPr>
        <w:t>Organizuojant vaikams globą (rūpybą) ir vykdant jų priežiūrą</w:t>
      </w:r>
      <w:r w:rsidR="00EA375E">
        <w:rPr>
          <w:szCs w:val="24"/>
        </w:rPr>
        <w:t>,</w:t>
      </w:r>
      <w:r>
        <w:rPr>
          <w:szCs w:val="24"/>
        </w:rPr>
        <w:t xml:space="preserve">  kviečiami  įvairių sričių specialistai, kurie vertina ir teikia siūlymus dėl </w:t>
      </w:r>
      <w:r w:rsidR="00EA375E">
        <w:rPr>
          <w:szCs w:val="24"/>
        </w:rPr>
        <w:t xml:space="preserve">tolimesnės </w:t>
      </w:r>
      <w:r>
        <w:rPr>
          <w:szCs w:val="24"/>
        </w:rPr>
        <w:t>jau globojamų  (rūpinamų) vaikų globos (rūpybos) organizavimo ar grąžinimo tėvams</w:t>
      </w:r>
      <w:r w:rsidRPr="00A13933">
        <w:rPr>
          <w:szCs w:val="24"/>
        </w:rPr>
        <w:t>.</w:t>
      </w:r>
      <w:r>
        <w:rPr>
          <w:szCs w:val="24"/>
        </w:rPr>
        <w:t xml:space="preserve"> Globėjai, kurie nėra vaiko artimi giminaičiai (seneliai, seserys ir broliai), privalo lankyti globėjų ir įtėvių parengimo mokymus ir tik juos baigę gauna išvadą</w:t>
      </w:r>
      <w:r w:rsidR="00EA375E">
        <w:rPr>
          <w:szCs w:val="24"/>
        </w:rPr>
        <w:t>,</w:t>
      </w:r>
      <w:r>
        <w:rPr>
          <w:szCs w:val="24"/>
        </w:rPr>
        <w:t xml:space="preserve"> ar gali globoti (rūpinti) vaikus.</w:t>
      </w:r>
      <w:r w:rsidRPr="00A13933">
        <w:rPr>
          <w:szCs w:val="24"/>
        </w:rPr>
        <w:t xml:space="preserve"> </w:t>
      </w:r>
      <w:r>
        <w:rPr>
          <w:szCs w:val="24"/>
        </w:rPr>
        <w:t>Vaiko teisių apsaugos skyrius įpareigotas nuolat domėtis globojamų (rūpinamų ) vaikų situacija. 2015</w:t>
      </w:r>
      <w:r w:rsidRPr="00A13933">
        <w:rPr>
          <w:szCs w:val="24"/>
        </w:rPr>
        <w:t xml:space="preserve"> metais vyko</w:t>
      </w:r>
      <w:r>
        <w:rPr>
          <w:szCs w:val="24"/>
        </w:rPr>
        <w:t xml:space="preserve"> 23</w:t>
      </w:r>
      <w:r w:rsidRPr="00A13933">
        <w:rPr>
          <w:szCs w:val="24"/>
        </w:rPr>
        <w:t xml:space="preserve"> pasitarimai dėl vaikų globos (rūpybos) (nustatant vaiko globą (rūpybą) ir vykdant va</w:t>
      </w:r>
      <w:r>
        <w:rPr>
          <w:szCs w:val="24"/>
        </w:rPr>
        <w:t>iko</w:t>
      </w:r>
      <w:r w:rsidRPr="00A13933">
        <w:rPr>
          <w:szCs w:val="24"/>
        </w:rPr>
        <w:t xml:space="preserve"> globos (rūpybos) peržiūras).</w:t>
      </w:r>
    </w:p>
    <w:p w:rsidR="00113DD9" w:rsidRPr="00A13933" w:rsidRDefault="00113DD9" w:rsidP="006D327D">
      <w:pPr>
        <w:jc w:val="left"/>
        <w:rPr>
          <w:szCs w:val="24"/>
        </w:rPr>
      </w:pPr>
      <w:r>
        <w:rPr>
          <w:szCs w:val="24"/>
        </w:rPr>
        <w:t>2015 m. 7</w:t>
      </w:r>
      <w:r w:rsidRPr="00A13933">
        <w:rPr>
          <w:szCs w:val="24"/>
        </w:rPr>
        <w:t xml:space="preserve"> vaik</w:t>
      </w:r>
      <w:r>
        <w:rPr>
          <w:szCs w:val="24"/>
        </w:rPr>
        <w:t>ų</w:t>
      </w:r>
      <w:r w:rsidRPr="00C61315">
        <w:rPr>
          <w:szCs w:val="24"/>
        </w:rPr>
        <w:t xml:space="preserve"> </w:t>
      </w:r>
      <w:r>
        <w:rPr>
          <w:szCs w:val="24"/>
        </w:rPr>
        <w:t>globa (rūpyba) pasibaigė dėl to, kad jie</w:t>
      </w:r>
      <w:r w:rsidRPr="00A13933">
        <w:rPr>
          <w:szCs w:val="24"/>
        </w:rPr>
        <w:t xml:space="preserve"> </w:t>
      </w:r>
      <w:r w:rsidR="00EA375E">
        <w:rPr>
          <w:szCs w:val="24"/>
        </w:rPr>
        <w:t xml:space="preserve">buvo </w:t>
      </w:r>
      <w:r w:rsidRPr="00A13933">
        <w:rPr>
          <w:szCs w:val="24"/>
        </w:rPr>
        <w:t>grąžint</w:t>
      </w:r>
      <w:r>
        <w:rPr>
          <w:szCs w:val="24"/>
        </w:rPr>
        <w:t>i</w:t>
      </w:r>
      <w:r w:rsidRPr="00A13933">
        <w:rPr>
          <w:szCs w:val="24"/>
        </w:rPr>
        <w:t xml:space="preserve"> tėvų priežiūrai, t.</w:t>
      </w:r>
      <w:r w:rsidR="00EA375E">
        <w:rPr>
          <w:szCs w:val="24"/>
        </w:rPr>
        <w:t xml:space="preserve"> </w:t>
      </w:r>
      <w:r w:rsidRPr="00A13933">
        <w:rPr>
          <w:szCs w:val="24"/>
        </w:rPr>
        <w:t>y. išnyko priežastys</w:t>
      </w:r>
      <w:r w:rsidR="00EA375E">
        <w:rPr>
          <w:szCs w:val="24"/>
        </w:rPr>
        <w:t>,</w:t>
      </w:r>
      <w:r w:rsidRPr="00A13933">
        <w:rPr>
          <w:szCs w:val="24"/>
        </w:rPr>
        <w:t xml:space="preserve"> dėl kurių buvo nustatyta globa (rūpyba),</w:t>
      </w:r>
      <w:r>
        <w:rPr>
          <w:szCs w:val="24"/>
        </w:rPr>
        <w:t xml:space="preserve"> 2</w:t>
      </w:r>
      <w:r w:rsidRPr="00A13933">
        <w:rPr>
          <w:szCs w:val="24"/>
        </w:rPr>
        <w:t xml:space="preserve"> rūpinami vaikai sulaukė pilnametystės. Pastebime, kad intensyvus socialinis darbas su biologine šeima, vaiku ir globėju (rūpintoju) yra pagrindinė priežastis</w:t>
      </w:r>
      <w:r w:rsidR="00EA375E">
        <w:rPr>
          <w:szCs w:val="24"/>
        </w:rPr>
        <w:t>,</w:t>
      </w:r>
      <w:r w:rsidRPr="00A13933">
        <w:rPr>
          <w:szCs w:val="24"/>
        </w:rPr>
        <w:t xml:space="preserve"> lemianti vaiko grįžimą į biologinę šeimą. </w:t>
      </w:r>
    </w:p>
    <w:p w:rsidR="00113DD9" w:rsidRDefault="00113DD9" w:rsidP="006D327D">
      <w:pPr>
        <w:jc w:val="left"/>
        <w:rPr>
          <w:szCs w:val="24"/>
        </w:rPr>
      </w:pPr>
      <w:r>
        <w:rPr>
          <w:szCs w:val="24"/>
        </w:rPr>
        <w:t>2015</w:t>
      </w:r>
      <w:r w:rsidRPr="00A13933">
        <w:rPr>
          <w:szCs w:val="24"/>
        </w:rPr>
        <w:t xml:space="preserve"> metais </w:t>
      </w:r>
      <w:r>
        <w:rPr>
          <w:szCs w:val="24"/>
        </w:rPr>
        <w:t>įvaikintų vaikų nebuvo.</w:t>
      </w:r>
    </w:p>
    <w:p w:rsidR="00113DD9" w:rsidRDefault="00113DD9" w:rsidP="006D327D">
      <w:pPr>
        <w:ind w:firstLine="0"/>
        <w:jc w:val="left"/>
        <w:rPr>
          <w:szCs w:val="24"/>
        </w:rPr>
      </w:pPr>
      <w:r>
        <w:rPr>
          <w:szCs w:val="24"/>
        </w:rPr>
        <w:t xml:space="preserve">             Pagal 2007 metais gegužės 28 d.  Lietuvos Respublikos </w:t>
      </w:r>
      <w:r w:rsidR="00EA375E">
        <w:rPr>
          <w:szCs w:val="24"/>
        </w:rPr>
        <w:t>s</w:t>
      </w:r>
      <w:r>
        <w:rPr>
          <w:szCs w:val="24"/>
        </w:rPr>
        <w:t>ocialinės apsaugos ir darbo ministro patvirtintus Vaiko laikinosios globos (rūpybos) nuostatus, tėvų laikino išvykimo iš Lietuvos Respublikos laikotarpiu Lietuvoje paliktam vaikui nustatoma laikinoji globa (rūpyba) tėvų prašymu.</w:t>
      </w:r>
    </w:p>
    <w:p w:rsidR="00113DD9" w:rsidRDefault="00113DD9" w:rsidP="006D327D">
      <w:pPr>
        <w:jc w:val="left"/>
        <w:rPr>
          <w:szCs w:val="24"/>
        </w:rPr>
      </w:pPr>
      <w:r>
        <w:rPr>
          <w:szCs w:val="24"/>
        </w:rPr>
        <w:t>Atsižvelgiant į tai, kad vaiko globa (rūpyba) nustatoma pagal vaiko tėvų ar vaiko deklaruotą gyvenamąją vietą (kuri kartais nesutampa su vaiko faktine gyvenamąja vieta)</w:t>
      </w:r>
      <w:r w:rsidR="00EA375E">
        <w:rPr>
          <w:szCs w:val="24"/>
        </w:rPr>
        <w:t>,</w:t>
      </w:r>
      <w:r>
        <w:rPr>
          <w:szCs w:val="24"/>
        </w:rPr>
        <w:t xml:space="preserve"> Skyrius vykdo vaikų, kuriems globą (rūpybą) nustatė kita savivaldybė</w:t>
      </w:r>
      <w:r w:rsidR="00EA375E">
        <w:rPr>
          <w:szCs w:val="24"/>
        </w:rPr>
        <w:t>,</w:t>
      </w:r>
      <w:r>
        <w:rPr>
          <w:szCs w:val="24"/>
        </w:rPr>
        <w:t xml:space="preserve"> priežiūrą (lanko vaikus, jų globėjus (rūpintojus), užpildo globojamo (rūpinamo) vaiko aktus ir informaciją pateikia savivaldybei</w:t>
      </w:r>
      <w:r w:rsidR="00EA375E">
        <w:rPr>
          <w:szCs w:val="24"/>
        </w:rPr>
        <w:t>,</w:t>
      </w:r>
      <w:r>
        <w:rPr>
          <w:szCs w:val="24"/>
        </w:rPr>
        <w:t xml:space="preserve"> nustačiusiai vaikui globą (rūpybą).</w:t>
      </w:r>
    </w:p>
    <w:p w:rsidR="00113DD9" w:rsidRDefault="00113DD9" w:rsidP="006D327D">
      <w:pPr>
        <w:ind w:firstLine="0"/>
        <w:jc w:val="left"/>
        <w:rPr>
          <w:szCs w:val="24"/>
        </w:rPr>
      </w:pPr>
      <w:r>
        <w:rPr>
          <w:szCs w:val="24"/>
        </w:rPr>
        <w:t xml:space="preserve">              Vaiko teisių apsaugos skyrius priima fizinių asmenų prašymus dėl leidimo priimti laikinai svečiuotis institucijoje globojamą (rūpinamą) vaiką.</w:t>
      </w:r>
    </w:p>
    <w:p w:rsidR="00113DD9" w:rsidRDefault="00113DD9" w:rsidP="00113DD9">
      <w:pPr>
        <w:rPr>
          <w:szCs w:val="24"/>
        </w:rPr>
      </w:pPr>
    </w:p>
    <w:p w:rsidR="00EE11E8" w:rsidRPr="00113DD9" w:rsidRDefault="00EE11E8" w:rsidP="00E97ECA">
      <w:pPr>
        <w:rPr>
          <w:szCs w:val="24"/>
        </w:rPr>
      </w:pPr>
    </w:p>
    <w:p w:rsidR="00EE11E8" w:rsidRDefault="00113DD9" w:rsidP="00E97ECA">
      <w:pPr>
        <w:rPr>
          <w:i/>
          <w:szCs w:val="24"/>
        </w:rPr>
      </w:pPr>
      <w:r w:rsidRPr="00113DD9">
        <w:rPr>
          <w:i/>
          <w:noProof/>
          <w:szCs w:val="24"/>
          <w:lang w:eastAsia="lt-LT"/>
        </w:rPr>
        <w:drawing>
          <wp:inline distT="0" distB="0" distL="0" distR="0">
            <wp:extent cx="5537365" cy="3554233"/>
            <wp:effectExtent l="19050" t="0" r="25235" b="8117"/>
            <wp:docPr id="17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r w:rsidRPr="00113DD9">
        <w:rPr>
          <w:i/>
          <w:noProof/>
          <w:szCs w:val="24"/>
          <w:lang w:eastAsia="lt-LT"/>
        </w:rPr>
        <w:lastRenderedPageBreak/>
        <w:drawing>
          <wp:inline distT="0" distB="0" distL="0" distR="0">
            <wp:extent cx="5497581" cy="3554233"/>
            <wp:effectExtent l="19050" t="0" r="26919" b="8117"/>
            <wp:docPr id="17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r w:rsidRPr="00113DD9">
        <w:rPr>
          <w:i/>
          <w:noProof/>
          <w:szCs w:val="24"/>
          <w:lang w:eastAsia="lt-LT"/>
        </w:rPr>
        <w:drawing>
          <wp:inline distT="0" distB="0" distL="0" distR="0">
            <wp:extent cx="5266182" cy="3749040"/>
            <wp:effectExtent l="19050" t="0" r="10668" b="3810"/>
            <wp:docPr id="1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r w:rsidRPr="00113DD9">
        <w:rPr>
          <w:i/>
          <w:noProof/>
          <w:szCs w:val="24"/>
          <w:lang w:eastAsia="lt-LT"/>
        </w:rPr>
        <w:lastRenderedPageBreak/>
        <w:drawing>
          <wp:inline distT="0" distB="0" distL="0" distR="0">
            <wp:extent cx="5491085" cy="4015946"/>
            <wp:effectExtent l="19050" t="0" r="14365" b="3604"/>
            <wp:docPr id="17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113DD9" w:rsidRDefault="00113DD9" w:rsidP="00E97ECA">
      <w:pPr>
        <w:rPr>
          <w:i/>
          <w:szCs w:val="24"/>
        </w:rPr>
      </w:pPr>
    </w:p>
    <w:p w:rsidR="00113DD9" w:rsidRDefault="00113DD9" w:rsidP="00E97ECA">
      <w:pPr>
        <w:rPr>
          <w:i/>
          <w:szCs w:val="24"/>
        </w:rPr>
      </w:pPr>
    </w:p>
    <w:p w:rsidR="00113DD9" w:rsidRDefault="00113DD9" w:rsidP="00E97ECA">
      <w:pPr>
        <w:rPr>
          <w:i/>
          <w:szCs w:val="24"/>
        </w:rPr>
      </w:pPr>
      <w:r w:rsidRPr="00113DD9">
        <w:rPr>
          <w:i/>
          <w:noProof/>
          <w:szCs w:val="24"/>
          <w:lang w:eastAsia="lt-LT"/>
        </w:rPr>
        <w:drawing>
          <wp:inline distT="0" distB="0" distL="0" distR="0">
            <wp:extent cx="5495704" cy="2735249"/>
            <wp:effectExtent l="19050" t="0" r="9746" b="7951"/>
            <wp:docPr id="180"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EE11E8" w:rsidRDefault="00EE11E8" w:rsidP="00E97ECA">
      <w:pPr>
        <w:rPr>
          <w:i/>
          <w:szCs w:val="24"/>
        </w:rPr>
      </w:pPr>
    </w:p>
    <w:p w:rsidR="00EE11E8" w:rsidRPr="00630125" w:rsidRDefault="00EE11E8" w:rsidP="00E97ECA">
      <w:pPr>
        <w:rPr>
          <w:i/>
          <w:szCs w:val="24"/>
        </w:rPr>
      </w:pPr>
    </w:p>
    <w:p w:rsidR="00E97ECA" w:rsidRPr="00630125" w:rsidRDefault="00113DD9" w:rsidP="00113DD9">
      <w:pPr>
        <w:rPr>
          <w:i/>
          <w:szCs w:val="24"/>
        </w:rPr>
      </w:pPr>
      <w:r w:rsidRPr="00113DD9">
        <w:rPr>
          <w:i/>
          <w:noProof/>
          <w:szCs w:val="24"/>
          <w:lang w:eastAsia="lt-LT"/>
        </w:rPr>
        <w:lastRenderedPageBreak/>
        <w:drawing>
          <wp:inline distT="0" distB="0" distL="0" distR="0">
            <wp:extent cx="5497581" cy="5001370"/>
            <wp:effectExtent l="19050" t="0" r="26919" b="8780"/>
            <wp:docPr id="18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E97ECA" w:rsidRPr="00630125" w:rsidRDefault="00E97ECA" w:rsidP="00E97ECA">
      <w:pPr>
        <w:jc w:val="right"/>
        <w:rPr>
          <w:i/>
          <w:szCs w:val="24"/>
        </w:rPr>
      </w:pPr>
    </w:p>
    <w:p w:rsidR="00E97ECA" w:rsidRPr="00630125" w:rsidRDefault="00E97ECA" w:rsidP="00E97ECA">
      <w:pPr>
        <w:jc w:val="center"/>
        <w:rPr>
          <w:i/>
          <w:szCs w:val="24"/>
        </w:rPr>
      </w:pPr>
    </w:p>
    <w:p w:rsidR="00113DD9" w:rsidRDefault="00113DD9" w:rsidP="00113DD9">
      <w:pPr>
        <w:jc w:val="left"/>
        <w:rPr>
          <w:i/>
          <w:szCs w:val="24"/>
        </w:rPr>
      </w:pPr>
      <w:r w:rsidRPr="00113DD9">
        <w:rPr>
          <w:i/>
          <w:noProof/>
          <w:szCs w:val="24"/>
          <w:lang w:eastAsia="lt-LT"/>
        </w:rPr>
        <w:drawing>
          <wp:inline distT="0" distB="0" distL="0" distR="0">
            <wp:extent cx="5486400" cy="3200400"/>
            <wp:effectExtent l="19050" t="0" r="19050" b="0"/>
            <wp:docPr id="182"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113DD9" w:rsidRDefault="00113DD9" w:rsidP="00113DD9">
      <w:pPr>
        <w:jc w:val="left"/>
        <w:rPr>
          <w:i/>
          <w:szCs w:val="24"/>
        </w:rPr>
      </w:pPr>
    </w:p>
    <w:p w:rsidR="00113DD9" w:rsidRDefault="00113DD9" w:rsidP="00113DD9">
      <w:pPr>
        <w:jc w:val="left"/>
        <w:rPr>
          <w:i/>
          <w:szCs w:val="24"/>
        </w:rPr>
      </w:pPr>
    </w:p>
    <w:p w:rsidR="00113DD9" w:rsidRDefault="00113DD9" w:rsidP="00113DD9">
      <w:pPr>
        <w:jc w:val="left"/>
        <w:rPr>
          <w:i/>
          <w:szCs w:val="24"/>
        </w:rPr>
      </w:pPr>
      <w:r w:rsidRPr="00113DD9">
        <w:rPr>
          <w:i/>
          <w:noProof/>
          <w:szCs w:val="24"/>
          <w:lang w:eastAsia="lt-LT"/>
        </w:rPr>
        <w:lastRenderedPageBreak/>
        <w:drawing>
          <wp:inline distT="0" distB="0" distL="0" distR="0">
            <wp:extent cx="5485370" cy="3459892"/>
            <wp:effectExtent l="19050" t="0" r="20080" b="7208"/>
            <wp:docPr id="18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113DD9" w:rsidRDefault="00113DD9" w:rsidP="00113DD9">
      <w:pPr>
        <w:jc w:val="left"/>
        <w:rPr>
          <w:i/>
          <w:szCs w:val="24"/>
        </w:rPr>
      </w:pPr>
    </w:p>
    <w:p w:rsidR="00E97ECA" w:rsidRPr="00630125" w:rsidRDefault="00E97ECA" w:rsidP="00E97ECA">
      <w:pPr>
        <w:jc w:val="center"/>
        <w:rPr>
          <w:b/>
          <w:i/>
          <w:szCs w:val="24"/>
        </w:rPr>
      </w:pPr>
    </w:p>
    <w:p w:rsidR="00E97ECA" w:rsidRPr="00630125" w:rsidRDefault="00E97ECA" w:rsidP="00E97ECA">
      <w:pPr>
        <w:jc w:val="left"/>
        <w:rPr>
          <w:i/>
          <w:szCs w:val="24"/>
        </w:rPr>
      </w:pPr>
      <w:r w:rsidRPr="00630125">
        <w:rPr>
          <w:b/>
          <w:bCs/>
          <w:i/>
          <w:color w:val="3366FF"/>
        </w:rPr>
        <w:t xml:space="preserve">                </w:t>
      </w:r>
    </w:p>
    <w:p w:rsidR="00E97ECA" w:rsidRPr="00B640B7" w:rsidRDefault="00E97ECA" w:rsidP="00E97ECA">
      <w:pPr>
        <w:rPr>
          <w:b/>
          <w:color w:val="000000"/>
        </w:rPr>
      </w:pPr>
      <w:r w:rsidRPr="00630125">
        <w:rPr>
          <w:i/>
          <w:szCs w:val="24"/>
        </w:rPr>
        <w:tab/>
      </w:r>
      <w:r w:rsidRPr="00B640B7">
        <w:rPr>
          <w:szCs w:val="24"/>
        </w:rPr>
        <w:t xml:space="preserve">                                       </w:t>
      </w:r>
      <w:r w:rsidRPr="00B640B7">
        <w:rPr>
          <w:b/>
          <w:color w:val="000000"/>
        </w:rPr>
        <w:t>ŠVIETIMAS</w:t>
      </w:r>
    </w:p>
    <w:p w:rsidR="00E97ECA" w:rsidRPr="00630125" w:rsidRDefault="00E97ECA" w:rsidP="00E97ECA">
      <w:pPr>
        <w:jc w:val="center"/>
        <w:rPr>
          <w:b/>
          <w:i/>
          <w:color w:val="000000"/>
        </w:rPr>
      </w:pPr>
    </w:p>
    <w:p w:rsidR="00B640B7" w:rsidRPr="00581DDE" w:rsidRDefault="00B640B7" w:rsidP="006D327D">
      <w:pPr>
        <w:jc w:val="left"/>
      </w:pPr>
      <w:r w:rsidRPr="00581DDE">
        <w:t>Rietavo savivaldybės administracijos Švietimo, kultūros ir sporto skyriaus vedėja</w:t>
      </w:r>
      <w:r>
        <w:t>s</w:t>
      </w:r>
      <w:r w:rsidRPr="00581DDE">
        <w:t>, pavaduotoja</w:t>
      </w:r>
      <w:r>
        <w:t>s</w:t>
      </w:r>
      <w:r w:rsidRPr="00581DDE">
        <w:t xml:space="preserve"> švietimui ir specialist</w:t>
      </w:r>
      <w:r>
        <w:t>as</w:t>
      </w:r>
      <w:r w:rsidRPr="00581DDE">
        <w:t xml:space="preserve"> švietimui vykdo švietimo įstaigų viešąjį administravimą ir kartu su švietimo įstaigomis įgyvendina valstybinę ir Savivaldybės švietimo politiką Rietavo savivaldybėje. </w:t>
      </w:r>
    </w:p>
    <w:p w:rsidR="00B640B7" w:rsidRPr="00581DDE" w:rsidRDefault="00B640B7" w:rsidP="006D327D">
      <w:pPr>
        <w:tabs>
          <w:tab w:val="left" w:pos="567"/>
        </w:tabs>
        <w:ind w:firstLine="0"/>
        <w:jc w:val="left"/>
      </w:pPr>
      <w:r w:rsidRPr="00581DDE">
        <w:rPr>
          <w:rFonts w:ascii="Palemonas" w:hAnsi="Palemonas"/>
          <w:bCs/>
          <w:iCs/>
        </w:rPr>
        <w:t xml:space="preserve">            Rietavo savivaldybės švietimo įstaigos vykdė ikimokyklinio, priešmokyklinio, pradinio, pagrindinio, vidurinio, pradinio ir pagrindinio specialiojo ugdymo, neformaliojo švietimo programas. </w:t>
      </w:r>
    </w:p>
    <w:p w:rsidR="00B640B7" w:rsidRPr="00581DDE" w:rsidRDefault="00B640B7" w:rsidP="006D327D">
      <w:pPr>
        <w:jc w:val="left"/>
      </w:pPr>
      <w:r w:rsidRPr="00581DDE">
        <w:t>Savivaldybėje 201</w:t>
      </w:r>
      <w:r>
        <w:t>5</w:t>
      </w:r>
      <w:r w:rsidRPr="00581DDE">
        <w:t xml:space="preserve"> m. buvo 5 švietimo įstaigos: </w:t>
      </w:r>
      <w:r>
        <w:t>2</w:t>
      </w:r>
      <w:r w:rsidRPr="00581DDE">
        <w:t xml:space="preserve">  gimnazij</w:t>
      </w:r>
      <w:r>
        <w:t>os</w:t>
      </w:r>
      <w:r w:rsidRPr="00581DDE">
        <w:t xml:space="preserve"> – Rietavo Lauryno Ivinskio gimnazija su Daugėdų pradinio ugdymo skyriumi</w:t>
      </w:r>
      <w:r>
        <w:t xml:space="preserve"> ir</w:t>
      </w:r>
      <w:r w:rsidRPr="00581DDE">
        <w:t xml:space="preserve"> Tverų gimnazija su Medingėnų skyriumi; 1 pagrindinė – Žadvainių pagrindinė mokykla; 1 neformaliojo vaikų ugdymo mokykla – Rietavo Mykolo Kleopo Oginskio meno mokykla  ir 1 ikimokyklinio ugdymo įstaiga </w:t>
      </w:r>
      <w:r w:rsidR="00EA375E">
        <w:t>–</w:t>
      </w:r>
      <w:r w:rsidRPr="00581DDE">
        <w:t xml:space="preserve"> Rietavo lopšelis-darželis.   </w:t>
      </w:r>
    </w:p>
    <w:p w:rsidR="00B640B7" w:rsidRPr="00143C3A" w:rsidRDefault="00B640B7" w:rsidP="006D327D">
      <w:pPr>
        <w:ind w:firstLine="0"/>
        <w:jc w:val="left"/>
      </w:pPr>
      <w:r>
        <w:t xml:space="preserve">             </w:t>
      </w:r>
      <w:r w:rsidRPr="00143C3A">
        <w:t>Bendrojo ugdymo mokyklose 2015 m. rugsėjo 1 d. mokėsi 1028 mokiniai, iš jų 32</w:t>
      </w:r>
      <w:r w:rsidR="00EA375E">
        <w:t xml:space="preserve"> – </w:t>
      </w:r>
      <w:r w:rsidRPr="00143C3A">
        <w:t xml:space="preserve"> priešmokyklinukai, 22 </w:t>
      </w:r>
      <w:r w:rsidR="00EA375E">
        <w:t xml:space="preserve">– </w:t>
      </w:r>
      <w:r w:rsidRPr="00143C3A">
        <w:t xml:space="preserve">ikimokyklinukai, kurie šiose mokyklose lankė mišrias priešmokyklinio ugdymo grupes. Rietavo lopšelyje-darželyje 2015 m. rugsėjo 1 d. buvo 195 vaikai, 9 ikimokyklinio ugdymo grupes lankė 164 vaikai ir 2 priešmokyklinio ugdymo grupes – 31 vaikas. Meno mokykloje mokosi  148 mokiniai. </w:t>
      </w:r>
      <w:r w:rsidRPr="00143C3A">
        <w:rPr>
          <w:rFonts w:ascii="Palemonas" w:hAnsi="Palemonas"/>
        </w:rPr>
        <w:t xml:space="preserve">2014-2015 m. m. pagrindinį išsilavinimą įgijo 103 mokiniai (99 proc.), paliktų kartoti kursą nebuvo, vidurinį išsilavinimą įgijo 76  mokiniai (100 proc.). </w:t>
      </w:r>
    </w:p>
    <w:p w:rsidR="00E97ECA" w:rsidRPr="00630125" w:rsidRDefault="00B640B7" w:rsidP="00E97ECA">
      <w:pPr>
        <w:pStyle w:val="Pagrindiniotekstotrauka"/>
        <w:jc w:val="center"/>
        <w:rPr>
          <w:i/>
          <w:color w:val="FF0000"/>
        </w:rPr>
      </w:pPr>
      <w:r w:rsidRPr="00B640B7">
        <w:rPr>
          <w:i/>
          <w:noProof/>
          <w:color w:val="FF0000"/>
          <w:lang w:eastAsia="lt-LT"/>
        </w:rPr>
        <w:lastRenderedPageBreak/>
        <w:drawing>
          <wp:inline distT="0" distB="0" distL="0" distR="0">
            <wp:extent cx="5139804" cy="3205793"/>
            <wp:effectExtent l="19050" t="0" r="22746" b="0"/>
            <wp:docPr id="1"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97ECA" w:rsidRPr="00630125" w:rsidRDefault="00E97ECA" w:rsidP="00E97ECA">
      <w:pPr>
        <w:pStyle w:val="Pagrindiniotekstotrauka"/>
        <w:jc w:val="center"/>
        <w:rPr>
          <w:i/>
          <w:color w:val="FF0000"/>
        </w:rPr>
      </w:pPr>
    </w:p>
    <w:p w:rsidR="00E97ECA" w:rsidRPr="00630125" w:rsidRDefault="00E97ECA" w:rsidP="00E97ECA">
      <w:pPr>
        <w:pStyle w:val="Pagrindiniotekstotrauka"/>
        <w:rPr>
          <w:i/>
          <w:color w:val="FF0000"/>
        </w:rPr>
      </w:pPr>
    </w:p>
    <w:p w:rsidR="00B640B7" w:rsidRPr="00143C3A" w:rsidRDefault="00B640B7" w:rsidP="006D327D">
      <w:pPr>
        <w:pStyle w:val="Pagrindiniotekstotrauka"/>
        <w:jc w:val="left"/>
      </w:pPr>
      <w:r w:rsidRPr="00143C3A">
        <w:t>Savivaldybės bendrojo ugdymo mokyklose dirba 105 pedagogini</w:t>
      </w:r>
      <w:r w:rsidR="00EA375E">
        <w:t>ai</w:t>
      </w:r>
      <w:r w:rsidRPr="00143C3A">
        <w:t xml:space="preserve"> darbuotoj</w:t>
      </w:r>
      <w:r w:rsidR="00EA375E">
        <w:t>ai</w:t>
      </w:r>
      <w:r w:rsidRPr="00143C3A">
        <w:t>, iš jų 8 yra pagalbą teikiantys specialistai, t. y. s</w:t>
      </w:r>
      <w:r w:rsidRPr="00143C3A">
        <w:rPr>
          <w:spacing w:val="-1"/>
          <w:szCs w:val="24"/>
        </w:rPr>
        <w:t>ocialiniai pedagogai, logopedai, specialieji pedagogai</w:t>
      </w:r>
      <w:r w:rsidRPr="00143C3A">
        <w:rPr>
          <w:szCs w:val="24"/>
        </w:rPr>
        <w:t>,  psichologai, auklėtojai, nedėstantys mokykloje.</w:t>
      </w:r>
      <w:r w:rsidRPr="00143C3A">
        <w:t xml:space="preserve"> Aukštąjį išsilavinimą turi 102 pedagogai, aukštesnįjį – 2, </w:t>
      </w:r>
      <w:r w:rsidR="00EA375E">
        <w:t>spec. vidurinį –</w:t>
      </w:r>
      <w:r w:rsidRPr="00143C3A">
        <w:t xml:space="preserve"> 1. Mokytojo kvalifikacinę kategoriją turi 11 pedagogų, vyr. mokytojo kvalifikacinę kategoriją – 48, mokytojo metodininko kvalifikacinę kategoriją – 38, eksperto kvalifikacinę kategoriją turi 1 pedagogas, specialisto kvalifikacinę kategoriją turi 2 specialista</w:t>
      </w:r>
      <w:r w:rsidR="00EA375E">
        <w:t>i</w:t>
      </w:r>
      <w:r w:rsidRPr="00143C3A">
        <w:t>, vyr. specialisto kvalifikacinę kategoriją – 4 specialistai. Neatestuoti 7 pedagogai.</w:t>
      </w:r>
    </w:p>
    <w:p w:rsidR="00B640B7" w:rsidRDefault="00B640B7" w:rsidP="00E97ECA">
      <w:pPr>
        <w:pStyle w:val="Pagrindiniotekstotrauka"/>
        <w:rPr>
          <w:i/>
        </w:rPr>
      </w:pPr>
    </w:p>
    <w:p w:rsidR="00B640B7" w:rsidRDefault="00B640B7" w:rsidP="00E97ECA">
      <w:pPr>
        <w:pStyle w:val="Pagrindiniotekstotrauka"/>
        <w:rPr>
          <w:i/>
        </w:rPr>
      </w:pPr>
    </w:p>
    <w:p w:rsidR="00B640B7" w:rsidRDefault="00B640B7" w:rsidP="00B640B7">
      <w:pPr>
        <w:pStyle w:val="Pagrindiniotekstotrauka"/>
        <w:jc w:val="center"/>
        <w:rPr>
          <w:i/>
        </w:rPr>
      </w:pPr>
      <w:r w:rsidRPr="00B640B7">
        <w:rPr>
          <w:i/>
          <w:noProof/>
          <w:lang w:eastAsia="lt-LT"/>
        </w:rPr>
        <w:drawing>
          <wp:inline distT="0" distB="0" distL="0" distR="0">
            <wp:extent cx="5431127" cy="3395207"/>
            <wp:effectExtent l="19050" t="0" r="17173" b="0"/>
            <wp:docPr id="7"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B640B7" w:rsidRDefault="00B640B7" w:rsidP="00E97ECA">
      <w:pPr>
        <w:pStyle w:val="Pagrindiniotekstotrauka"/>
        <w:rPr>
          <w:i/>
        </w:rPr>
      </w:pPr>
    </w:p>
    <w:p w:rsidR="00B640B7" w:rsidRDefault="00B640B7" w:rsidP="00E97ECA">
      <w:pPr>
        <w:pStyle w:val="Pagrindiniotekstotrauka"/>
        <w:rPr>
          <w:i/>
        </w:rPr>
      </w:pPr>
    </w:p>
    <w:p w:rsidR="00B640B7" w:rsidRPr="00143C3A" w:rsidRDefault="00B640B7" w:rsidP="006D327D">
      <w:pPr>
        <w:pStyle w:val="Pagrindiniotekstotrauka"/>
        <w:jc w:val="left"/>
      </w:pPr>
      <w:r w:rsidRPr="00143C3A">
        <w:lastRenderedPageBreak/>
        <w:t xml:space="preserve">Rietavo Mykolo Kleopo meno mokykloje pirmaeilėse pareigose dirba 14 mokytojų (iš viso yra 17), iš jų mokytojo kvalifikacinę kategoriją turi 2 mokytojai, vyresniojo mokytojo – 8, mokytojo metodininko – 4, ekspertų nėra.  </w:t>
      </w:r>
    </w:p>
    <w:p w:rsidR="00B640B7" w:rsidRPr="00143C3A" w:rsidRDefault="00B640B7" w:rsidP="006D327D">
      <w:pPr>
        <w:pStyle w:val="Pagrindiniotekstotrauka"/>
        <w:jc w:val="left"/>
      </w:pPr>
      <w:r w:rsidRPr="00143C3A">
        <w:t>Rietavo lopšelyje-darželyje pirmaeilėse pareigose dirba 23 auklėtojai (iš viso</w:t>
      </w:r>
      <w:r w:rsidR="00EA375E">
        <w:t xml:space="preserve"> –</w:t>
      </w:r>
      <w:r w:rsidRPr="00143C3A">
        <w:t xml:space="preserve"> 25), iš jų aukštąjį išsilavinimą turi 11, aukštesnįjį – 12, vyr. auklėtojo kvalifikacinę kategoriją turi 12, metodininko – 8, darželyje teikiama  logopedo pagalba. </w:t>
      </w:r>
    </w:p>
    <w:p w:rsidR="00B640B7" w:rsidRPr="00143C3A" w:rsidRDefault="00B640B7" w:rsidP="006D327D">
      <w:pPr>
        <w:pStyle w:val="Pagrindiniotekstotrauka"/>
        <w:jc w:val="left"/>
        <w:rPr>
          <w:b/>
          <w:u w:val="single"/>
        </w:rPr>
      </w:pPr>
      <w:r w:rsidRPr="00143C3A">
        <w:t>Pavaduotoja švietimui J. Barynienė dalyvavo ugdymo įstaigų mokytojų atestacinių komisijų darbe</w:t>
      </w:r>
      <w:r w:rsidR="00EA375E">
        <w:t xml:space="preserve"> –</w:t>
      </w:r>
      <w:r w:rsidRPr="00143C3A">
        <w:t xml:space="preserve"> vertinta Rietavo Lauryno Ivinskio gimnazijos mokytojų Julitos Remeikienės, Vilmos Stonkienės</w:t>
      </w:r>
      <w:r w:rsidR="00EA375E">
        <w:t>,</w:t>
      </w:r>
      <w:r w:rsidRPr="00143C3A">
        <w:t xml:space="preserve"> siekiančių įgyti vyr. mokytojo, Daivos Norkuvienės ir Liudos Tamulionienės</w:t>
      </w:r>
      <w:r w:rsidR="00EA375E">
        <w:t xml:space="preserve">, </w:t>
      </w:r>
      <w:r w:rsidRPr="00143C3A">
        <w:t>siekiančių įgyti mokytojo metodininko, Tverų gimnazijos mokytojų Renatos Daukintytės</w:t>
      </w:r>
      <w:r w:rsidR="00EA375E">
        <w:t xml:space="preserve">, </w:t>
      </w:r>
      <w:r w:rsidRPr="00143C3A">
        <w:t>siekiančios įgyti vyr. mokytojo,  Danutės Zalepugaitės ir Andriaus Černeckio</w:t>
      </w:r>
      <w:r w:rsidR="00EA375E">
        <w:t xml:space="preserve">, </w:t>
      </w:r>
      <w:r w:rsidRPr="00143C3A">
        <w:t>siekiančių įgyti mokytojo metodininko, Tverų gimnazijos Medingėnų skyriaus mokytojo Edgaro Untulio</w:t>
      </w:r>
      <w:r w:rsidR="00EA375E">
        <w:t xml:space="preserve">, </w:t>
      </w:r>
      <w:r w:rsidRPr="00143C3A">
        <w:t xml:space="preserve">siekiančio įgyti vyr. mokytojo kvalifikaciją, pedagoginė veikla. Vyriausioji specialistė Jolanta Grevienė dalyvavo Rietavo Mykolo Kleopo Oginskio meno mokyklos mokytojų atestacinės komisijos veikloje, vertino Ievos Skergelzienės ir Jolitos Budriuvienės, siekiančių įsigyti mokytojų metodininkių kvalifikacinę kategoriją, pedagoginę veiklą. </w:t>
      </w:r>
      <w:r w:rsidRPr="00143C3A">
        <w:rPr>
          <w:b/>
          <w:u w:val="single"/>
        </w:rPr>
        <w:t xml:space="preserve"> </w:t>
      </w:r>
    </w:p>
    <w:p w:rsidR="00B640B7" w:rsidRPr="00143C3A" w:rsidRDefault="00B640B7" w:rsidP="006D327D">
      <w:pPr>
        <w:jc w:val="left"/>
      </w:pPr>
      <w:r w:rsidRPr="00143C3A">
        <w:t xml:space="preserve">Rietavo savivaldybės ugdymo įstaigose 2015 m. dirbo 13 įstaigų vadovų (5 direktoriai ir 7 jų pavaduotojai) ir 1 skyriaus vedėjas, iš jų III kvalifikacinę kategoriją turi 10 vadovų, II kvalifikacinę kategoriją – 1 vadovas, I kvalifikacinės kategorijos neturi niekas, neatestuoti 2 vadovai.  </w:t>
      </w:r>
    </w:p>
    <w:p w:rsidR="00B640B7" w:rsidRPr="00143C3A" w:rsidRDefault="00B640B7" w:rsidP="006D327D">
      <w:pPr>
        <w:jc w:val="left"/>
      </w:pPr>
      <w:r w:rsidRPr="00143C3A">
        <w:t>Vykdyta mokyklų vadovų atestacija. Vyriausioji specialistė Jolanta Grevienė ir Rietavo</w:t>
      </w:r>
      <w:r w:rsidR="00EA375E">
        <w:t xml:space="preserve"> Lauryno Ivinskio</w:t>
      </w:r>
      <w:r w:rsidRPr="00143C3A">
        <w:t xml:space="preserve"> gimnazijos direktorė Dalia Baliutavičienė vertino Rietavo savivaldybės Žadvainių pagrindinės mokyklos direktoriaus Sigito Kažukausko, siekiančio III kvalifikacinė</w:t>
      </w:r>
      <w:r w:rsidR="00EA375E">
        <w:t>s</w:t>
      </w:r>
      <w:r w:rsidRPr="00143C3A">
        <w:t xml:space="preserve"> kategorijos, veiklą. Vedėjo pavaduotoja Janina Barynienė ir Kanceliarijos vedėja Jūratė Šedvilaitė vertino vadovų veiklos ir kompetencijos atitiktį turimai III vadybinei kategorijai. III kvalifikacinė kategorija suteikta Žadvainių pagrindinės mokyklos direktoriui Sigitui Kažukauskui.  Veiklos ir kompetencijos atitiktis   III vadybinei kategorijai nustatyta šiems mokyklų vadovams: Aldonai Sūdžiuvienei, Birutei Stonkuvienei, Ilonai Monstavičienei, Irenai Valančienei, Stefai Steponaviči</w:t>
      </w:r>
      <w:r w:rsidR="00EA375E">
        <w:t>u</w:t>
      </w:r>
      <w:r w:rsidRPr="00143C3A">
        <w:t xml:space="preserve">tei ir Vitalijai Jonušienei. </w:t>
      </w:r>
      <w:r w:rsidRPr="00143C3A">
        <w:tab/>
      </w:r>
    </w:p>
    <w:p w:rsidR="00B640B7" w:rsidRDefault="00B640B7" w:rsidP="00E97ECA">
      <w:pPr>
        <w:pStyle w:val="Pagrindiniotekstotrauka"/>
        <w:rPr>
          <w:i/>
        </w:rPr>
      </w:pPr>
    </w:p>
    <w:p w:rsidR="00B640B7" w:rsidRDefault="00B640B7" w:rsidP="00E97ECA">
      <w:pPr>
        <w:pStyle w:val="Pagrindiniotekstotrauka"/>
        <w:rPr>
          <w:i/>
        </w:rPr>
      </w:pPr>
    </w:p>
    <w:p w:rsidR="00B640B7" w:rsidRDefault="00B640B7" w:rsidP="00E97ECA">
      <w:pPr>
        <w:pStyle w:val="Pagrindiniotekstotrauka"/>
        <w:rPr>
          <w:i/>
        </w:rPr>
      </w:pPr>
      <w:r w:rsidRPr="00B640B7">
        <w:rPr>
          <w:i/>
          <w:noProof/>
          <w:lang w:eastAsia="lt-LT"/>
        </w:rPr>
        <w:drawing>
          <wp:inline distT="0" distB="0" distL="0" distR="0">
            <wp:extent cx="4987456" cy="2393343"/>
            <wp:effectExtent l="19050" t="0" r="22694" b="6957"/>
            <wp:docPr id="8"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B640B7" w:rsidRDefault="00B640B7" w:rsidP="00E97ECA">
      <w:pPr>
        <w:pStyle w:val="Pagrindiniotekstotrauka"/>
        <w:rPr>
          <w:i/>
        </w:rPr>
      </w:pPr>
    </w:p>
    <w:p w:rsidR="00B640B7" w:rsidRDefault="00B640B7" w:rsidP="00E97ECA">
      <w:pPr>
        <w:pStyle w:val="Pagrindiniotekstotrauka"/>
        <w:rPr>
          <w:i/>
        </w:rPr>
      </w:pPr>
    </w:p>
    <w:p w:rsidR="00B640B7" w:rsidRPr="00DF01CB" w:rsidRDefault="00B640B7" w:rsidP="006D327D">
      <w:pPr>
        <w:jc w:val="left"/>
        <w:rPr>
          <w:rFonts w:ascii="Palemonas" w:hAnsi="Palemonas"/>
        </w:rPr>
      </w:pPr>
      <w:r w:rsidRPr="00DF01CB">
        <w:rPr>
          <w:rFonts w:ascii="Palemonas" w:hAnsi="Palemonas"/>
        </w:rPr>
        <w:t xml:space="preserve">Vykdydamas nuostatuose nustatytas funkcijas, Švietimo, kultūros ir sporto skyrius tvarkė ir pildė 7 Savivaldybės duomenų bazes ir informacines sistemas (plg., 2008 m. buvo administruojamos 5 duomenų bazės): </w:t>
      </w:r>
    </w:p>
    <w:p w:rsidR="00B640B7" w:rsidRPr="00DF01CB" w:rsidRDefault="00B640B7" w:rsidP="006D327D">
      <w:pPr>
        <w:ind w:firstLine="0"/>
        <w:jc w:val="left"/>
        <w:rPr>
          <w:rFonts w:ascii="Palemonas" w:hAnsi="Palemonas"/>
        </w:rPr>
      </w:pPr>
      <w:r w:rsidRPr="00DF01CB">
        <w:rPr>
          <w:rFonts w:ascii="Palemonas" w:hAnsi="Palemonas"/>
          <w:i/>
        </w:rPr>
        <w:lastRenderedPageBreak/>
        <w:t xml:space="preserve">             </w:t>
      </w:r>
      <w:r w:rsidRPr="00DF01CB">
        <w:rPr>
          <w:rFonts w:ascii="Palemonas" w:hAnsi="Palemonas"/>
        </w:rPr>
        <w:t>Mokinių  registrą (MR) – vykdomas  atestatų ir jų priedų perdavimo ir priėmimo aktų suvedimas, ataskaitų rengimas, mokinių duomenų bazės sudarymas, duomenų analizė, planavimas, klasių komplektavimas, mokinio krepšelio formavimas, ataskaitų teikimas ŠMM.</w:t>
      </w:r>
    </w:p>
    <w:p w:rsidR="00B640B7" w:rsidRPr="00F12B8D" w:rsidRDefault="00B640B7" w:rsidP="006D327D">
      <w:pPr>
        <w:ind w:firstLine="0"/>
        <w:jc w:val="left"/>
        <w:rPr>
          <w:rFonts w:ascii="Palemonas" w:hAnsi="Palemonas"/>
        </w:rPr>
      </w:pPr>
      <w:r w:rsidRPr="00F12B8D">
        <w:rPr>
          <w:rFonts w:ascii="Palemonas" w:hAnsi="Palemonas"/>
        </w:rPr>
        <w:t xml:space="preserve">             Pedagogų registrą (PR) – mokyklų suvestų duomenų patikrinimas, formos  „3-mokykla“  formavimas, pedagogų statistikos ataskaitų formavimas. </w:t>
      </w:r>
    </w:p>
    <w:p w:rsidR="00B640B7" w:rsidRPr="00F12B8D" w:rsidRDefault="00B640B7" w:rsidP="006D327D">
      <w:pPr>
        <w:ind w:firstLine="0"/>
        <w:jc w:val="left"/>
        <w:rPr>
          <w:rFonts w:ascii="Palemonas" w:hAnsi="Palemonas"/>
        </w:rPr>
      </w:pPr>
      <w:r w:rsidRPr="00F12B8D">
        <w:rPr>
          <w:rFonts w:ascii="Palemonas" w:hAnsi="Palemonas"/>
        </w:rPr>
        <w:t xml:space="preserve">            Švietimo ir mokslo institucijų registrą (ŠMIR) – mokyklų duomenų kortelių registravimas, registro tvarkymas, duomenų įvedimas, registravimas ir kt. </w:t>
      </w:r>
    </w:p>
    <w:p w:rsidR="00B640B7" w:rsidRPr="00F12B8D" w:rsidRDefault="00B640B7" w:rsidP="006D327D">
      <w:pPr>
        <w:ind w:firstLine="0"/>
        <w:jc w:val="left"/>
        <w:rPr>
          <w:rFonts w:ascii="Palemonas" w:hAnsi="Palemonas"/>
        </w:rPr>
      </w:pPr>
      <w:r w:rsidRPr="00F12B8D">
        <w:rPr>
          <w:rFonts w:ascii="Palemonas" w:hAnsi="Palemonas"/>
        </w:rPr>
        <w:t xml:space="preserve">             ŠVIS (Švietimo valdymo informacinė sistema) – mokyklų statistinių ataskaitų 1-mokykla, 2-mokykla, 3-mokykla, 4-mokykla, 3D, 3ES, 3I, ŠV-03 – Vaiko minimalios ir vidutinės priežiūros rodiklių, Nelankančių mokinių apskaitos duomenų patikrinimas, suvedimas ir suvestinių atskaitų formavimas ir teikimas ŠMM. </w:t>
      </w:r>
    </w:p>
    <w:p w:rsidR="00B640B7" w:rsidRPr="00DF01CB" w:rsidRDefault="00B640B7" w:rsidP="006D327D">
      <w:pPr>
        <w:ind w:firstLine="0"/>
        <w:jc w:val="left"/>
        <w:rPr>
          <w:rFonts w:ascii="Palemonas" w:hAnsi="Palemonas"/>
        </w:rPr>
      </w:pPr>
      <w:r w:rsidRPr="00581DDE">
        <w:rPr>
          <w:rFonts w:ascii="Palemonas" w:hAnsi="Palemonas"/>
          <w:color w:val="FF0000"/>
        </w:rPr>
        <w:t xml:space="preserve">               </w:t>
      </w:r>
      <w:r w:rsidRPr="00DF01CB">
        <w:rPr>
          <w:rFonts w:ascii="Palemonas" w:hAnsi="Palemonas"/>
        </w:rPr>
        <w:t>Nacionalinio egzaminų centro duomenų perdavimo sistemą KELTAS</w:t>
      </w:r>
      <w:r w:rsidRPr="00DF01CB">
        <w:rPr>
          <w:rFonts w:ascii="Palemonas" w:hAnsi="Palemonas"/>
          <w:i/>
        </w:rPr>
        <w:t xml:space="preserve"> </w:t>
      </w:r>
      <w:r w:rsidRPr="00DF01CB">
        <w:rPr>
          <w:rFonts w:ascii="Palemonas" w:hAnsi="Palemonas"/>
        </w:rPr>
        <w:t>–  pagrindinio ugdymo pasiekimų patikrinimo pasirinkimai, mokinių egzaminų pasirinkimas, egzaminų centrų steigimas, mokinių egzaminų pasirinkimas, egzaminų ir pagrindinio ugdymo pasiekimų patikrinimo rezultatai ir kt.</w:t>
      </w:r>
    </w:p>
    <w:p w:rsidR="00B640B7" w:rsidRPr="00DF01CB" w:rsidRDefault="00B640B7" w:rsidP="006D327D">
      <w:pPr>
        <w:tabs>
          <w:tab w:val="left" w:pos="-1800"/>
        </w:tabs>
        <w:ind w:firstLine="0"/>
        <w:jc w:val="left"/>
      </w:pPr>
      <w:r w:rsidRPr="00581DDE">
        <w:rPr>
          <w:color w:val="FF0000"/>
        </w:rPr>
        <w:t xml:space="preserve">               </w:t>
      </w:r>
      <w:r w:rsidRPr="00DF01CB">
        <w:t xml:space="preserve">MTP </w:t>
      </w:r>
      <w:r w:rsidRPr="00DF01CB">
        <w:rPr>
          <w:lang w:val="en-US"/>
        </w:rPr>
        <w:t>plius</w:t>
      </w:r>
      <w:r w:rsidRPr="00DF01CB">
        <w:t xml:space="preserve"> duomenų bazę </w:t>
      </w:r>
      <w:r w:rsidRPr="00DF01CB">
        <w:rPr>
          <w:rFonts w:ascii="Palemonas" w:hAnsi="Palemonas"/>
        </w:rPr>
        <w:t>–</w:t>
      </w:r>
      <w:r w:rsidRPr="00DF01CB">
        <w:t xml:space="preserve"> mokyklų materialinės bazės aprūpinimas pagal ŠMM finansuojamas programas.</w:t>
      </w:r>
    </w:p>
    <w:p w:rsidR="00B640B7" w:rsidRPr="00F12B8D" w:rsidRDefault="00B640B7" w:rsidP="006D327D">
      <w:pPr>
        <w:tabs>
          <w:tab w:val="left" w:pos="-1800"/>
        </w:tabs>
        <w:ind w:firstLine="0"/>
        <w:jc w:val="left"/>
        <w:rPr>
          <w:rFonts w:ascii="Palemonas" w:hAnsi="Palemonas"/>
          <w:bCs/>
          <w:i/>
          <w:iCs/>
        </w:rPr>
      </w:pPr>
      <w:r w:rsidRPr="00581DDE">
        <w:rPr>
          <w:color w:val="FF0000"/>
        </w:rPr>
        <w:t xml:space="preserve">               </w:t>
      </w:r>
      <w:r w:rsidRPr="00F12B8D">
        <w:t>Nesimokančių vaikų ir mokyklos nelankančių mokinių informacinę sistemą (NEMIS)</w:t>
      </w:r>
      <w:r w:rsidRPr="00F12B8D">
        <w:rPr>
          <w:rFonts w:ascii="Palemonas" w:hAnsi="Palemonas"/>
        </w:rPr>
        <w:t xml:space="preserve"> – </w:t>
      </w:r>
      <w:r w:rsidRPr="00F12B8D">
        <w:t>nesimokančių ir ne</w:t>
      </w:r>
      <w:r w:rsidRPr="00F12B8D">
        <w:rPr>
          <w:rFonts w:ascii="Palemonas" w:hAnsi="Palemonas"/>
        </w:rPr>
        <w:t>lankančių mokyklos vaikų duomenų bazės sudarymas,</w:t>
      </w:r>
      <w:r w:rsidRPr="00F12B8D">
        <w:rPr>
          <w:rFonts w:ascii="Palemonas" w:hAnsi="Palemonas"/>
          <w:i/>
        </w:rPr>
        <w:t xml:space="preserve"> </w:t>
      </w:r>
      <w:r w:rsidRPr="00F12B8D">
        <w:rPr>
          <w:rFonts w:ascii="Palemonas" w:hAnsi="Palemonas"/>
        </w:rPr>
        <w:t>duomenų analizė, ataskaitos formavimas.</w:t>
      </w:r>
    </w:p>
    <w:p w:rsidR="00B640B7" w:rsidRPr="00F12B8D" w:rsidRDefault="00B640B7" w:rsidP="006D327D">
      <w:pPr>
        <w:jc w:val="left"/>
        <w:rPr>
          <w:color w:val="548DD4" w:themeColor="text2" w:themeTint="99"/>
        </w:rPr>
      </w:pPr>
      <w:r w:rsidRPr="00F12B8D">
        <w:t xml:space="preserve">Vykdoma metodinė veikla, organizuojami metodinių ratelių </w:t>
      </w:r>
      <w:r w:rsidRPr="00F12B8D">
        <w:rPr>
          <w:bCs/>
        </w:rPr>
        <w:t>pasitarimai</w:t>
      </w:r>
      <w:r w:rsidRPr="00F12B8D">
        <w:t>: lietuvių k. mokytojų – 5, užsienio kalbos (rusų k. ir prancūzų k.) mokytojų – 3, anglų k. mokytojų – 4, istorijos mokytojų – 3, geografijos mokytojų – 3, technologijų mokytojų – 2, meninio ugdymo mokytojų –</w:t>
      </w:r>
      <w:r w:rsidR="00EA375E">
        <w:t xml:space="preserve"> </w:t>
      </w:r>
      <w:r w:rsidRPr="00F12B8D">
        <w:t xml:space="preserve">2, socialinių pedagogų </w:t>
      </w:r>
      <w:r w:rsidR="00EA375E">
        <w:t>–</w:t>
      </w:r>
      <w:r w:rsidRPr="00F12B8D">
        <w:t xml:space="preserve"> 2, dorinio ugdymo </w:t>
      </w:r>
      <w:r w:rsidR="00EA375E">
        <w:t>–</w:t>
      </w:r>
      <w:r w:rsidRPr="00F12B8D">
        <w:t xml:space="preserve"> 2, matematikos mokytojų – 3, informacinių technologijų mokytojų – 3, pradinio ugdymo mokytojų – 7, biologijos mokytojų – 3, chemijos mokytojų – 2, </w:t>
      </w:r>
      <w:r w:rsidRPr="00AD3D6B">
        <w:t>fizikos mokytojų – 2.</w:t>
      </w:r>
      <w:r w:rsidRPr="00F12B8D">
        <w:rPr>
          <w:color w:val="548DD4" w:themeColor="text2" w:themeTint="99"/>
        </w:rPr>
        <w:t xml:space="preserve"> </w:t>
      </w:r>
    </w:p>
    <w:p w:rsidR="00B640B7" w:rsidRPr="00143C3A" w:rsidRDefault="00B640B7" w:rsidP="006D327D">
      <w:pPr>
        <w:jc w:val="left"/>
      </w:pPr>
      <w:r w:rsidRPr="00143C3A">
        <w:t xml:space="preserve">2015 m. vyko 6 mokyklų vadovų pasitarimai, prieškalėdinis pažintinis kultūrinis seminaras Vilniuje. </w:t>
      </w:r>
    </w:p>
    <w:p w:rsidR="00B640B7" w:rsidRPr="00143C3A" w:rsidRDefault="00B640B7" w:rsidP="006D327D">
      <w:pPr>
        <w:jc w:val="left"/>
      </w:pPr>
      <w:r w:rsidRPr="00143C3A">
        <w:t xml:space="preserve">2014-2015 m. m. suorganizuotos ir pravestos 24 dalykinės olimpiados ir konkursai: meninio skaitymo, lietuvių k., raštingiausio mokinio, prancūzų k., anglų k., geografijos, istorijos, fizikos, biologijos, chemijos, matematikos, ,,Kengūra“, ,,Bebras“, ,,Šviesoforas“ ir kt. Rietavo Lauryno Ivinskio gimnazijos 6 a klasės mokinė Paulė Katauskaitė Meninio skaitymo konkurso zoniniame ture užėmė I vietą . Mokinę konkursui rengė mokytoja Nijolė Dovidauskienė. </w:t>
      </w:r>
    </w:p>
    <w:p w:rsidR="00B640B7" w:rsidRDefault="00B640B7" w:rsidP="006D327D">
      <w:pPr>
        <w:jc w:val="left"/>
      </w:pPr>
      <w:r w:rsidRPr="00B36DBE">
        <w:t xml:space="preserve">Tikrintas brandos egzaminų organizavimas ir vykdymas, PUPP organizavimas ir vykdymas, mokyklų ugdymo planų sudarymas, mokyklų metiniai veiklos planai, brandos atestatų ir pažymėjimų išdavimas ir apskaita. </w:t>
      </w:r>
    </w:p>
    <w:p w:rsidR="00B640B7" w:rsidRPr="00143C3A" w:rsidRDefault="00B640B7" w:rsidP="006D327D">
      <w:pPr>
        <w:jc w:val="left"/>
      </w:pPr>
      <w:r w:rsidRPr="00143C3A">
        <w:t>2015 m. I pusme</w:t>
      </w:r>
      <w:r w:rsidR="00EA375E">
        <w:t>tį</w:t>
      </w:r>
      <w:r w:rsidRPr="00143C3A">
        <w:t xml:space="preserve"> gaut</w:t>
      </w:r>
      <w:r w:rsidR="00EA375E">
        <w:t>i</w:t>
      </w:r>
      <w:r w:rsidRPr="00143C3A">
        <w:t xml:space="preserve"> 5 prašymai dėl paramos skyrimo. Studijų rėmimo pašalpos skirtos visiems 5 studentams </w:t>
      </w:r>
      <w:r w:rsidR="00EA375E">
        <w:t>–</w:t>
      </w:r>
      <w:r w:rsidRPr="00143C3A">
        <w:t xml:space="preserve"> po 152,00 eurus.  2015 m. II pusme</w:t>
      </w:r>
      <w:r w:rsidR="00EA375E">
        <w:t>tį</w:t>
      </w:r>
      <w:r w:rsidRPr="00143C3A">
        <w:t xml:space="preserve"> gauti 3 prašymai dėl paramos skyrimo. Studijų rėmimo pašalpos skirtos 3 studentams </w:t>
      </w:r>
      <w:r w:rsidR="00EA375E">
        <w:t xml:space="preserve">– </w:t>
      </w:r>
      <w:r w:rsidRPr="00143C3A">
        <w:t xml:space="preserve">po 152,00 eurus.  </w:t>
      </w:r>
    </w:p>
    <w:p w:rsidR="00B640B7" w:rsidRPr="00143C3A" w:rsidRDefault="00B640B7" w:rsidP="006D327D">
      <w:pPr>
        <w:tabs>
          <w:tab w:val="num" w:pos="1555"/>
        </w:tabs>
        <w:jc w:val="left"/>
        <w:outlineLvl w:val="0"/>
      </w:pPr>
      <w:r w:rsidRPr="00143C3A">
        <w:t>Komisijos teikimu Rietavo savivaldybės taryba pakeitė paramos skyrimo tvarkos 9 punktą</w:t>
      </w:r>
      <w:r w:rsidR="00EA375E">
        <w:t>,</w:t>
      </w:r>
      <w:r w:rsidRPr="00143C3A">
        <w:t xml:space="preserve"> padidindama studentams skiriamos išmokos dydį </w:t>
      </w:r>
      <w:r w:rsidR="00EA375E">
        <w:t>(</w:t>
      </w:r>
      <w:r w:rsidRPr="00143C3A">
        <w:t>„Vienkartinės paramos dydis yra 6 bazinės socialinės išmokos (BSI)“</w:t>
      </w:r>
      <w:r w:rsidR="00EA375E">
        <w:t>)</w:t>
      </w:r>
      <w:r w:rsidRPr="00143C3A">
        <w:t>.</w:t>
      </w:r>
    </w:p>
    <w:p w:rsidR="00B640B7" w:rsidRPr="00143C3A" w:rsidRDefault="00B640B7" w:rsidP="006D327D">
      <w:pPr>
        <w:shd w:val="clear" w:color="auto" w:fill="FFFFFF"/>
        <w:ind w:firstLine="0"/>
        <w:jc w:val="left"/>
      </w:pPr>
      <w:r w:rsidRPr="00143C3A">
        <w:t xml:space="preserve">             2015 m. Rietavo savivaldybės mokyklose mokėsi 75 abiturientai. Jie laikė 9 valstybinius brandos egzaminus. </w:t>
      </w:r>
      <w:r w:rsidRPr="00143C3A">
        <w:rPr>
          <w:rFonts w:ascii="Palemonas" w:hAnsi="Palemonas"/>
          <w:iCs/>
        </w:rPr>
        <w:t xml:space="preserve">Pasibaigus </w:t>
      </w:r>
      <w:r w:rsidR="00EA375E" w:rsidRPr="00143C3A">
        <w:rPr>
          <w:rFonts w:ascii="Palemonas" w:hAnsi="Palemonas"/>
          <w:iCs/>
        </w:rPr>
        <w:t xml:space="preserve">pagrindinei </w:t>
      </w:r>
      <w:r w:rsidRPr="00143C3A">
        <w:rPr>
          <w:rFonts w:ascii="Palemonas" w:hAnsi="Palemonas"/>
          <w:iCs/>
        </w:rPr>
        <w:t>2015 m. brandos egzaminų sesijai,</w:t>
      </w:r>
      <w:r w:rsidRPr="00143C3A">
        <w:rPr>
          <w:rFonts w:ascii="Palemonas" w:hAnsi="Palemonas"/>
        </w:rPr>
        <w:t xml:space="preserve"> </w:t>
      </w:r>
      <w:r w:rsidRPr="00143C3A">
        <w:rPr>
          <w:rFonts w:ascii="Palemonas" w:hAnsi="Palemonas"/>
          <w:iCs/>
        </w:rPr>
        <w:t xml:space="preserve">atlikta brandos egzaminų rezultatų analizė, rezultatai aptarti su mokyklų vadovais, informacija pateikta žiniasklaidai. </w:t>
      </w:r>
    </w:p>
    <w:p w:rsidR="00B640B7" w:rsidRDefault="00B640B7" w:rsidP="00E97ECA">
      <w:pPr>
        <w:pStyle w:val="Pagrindiniotekstotrauka"/>
        <w:rPr>
          <w:i/>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65"/>
        <w:gridCol w:w="1516"/>
        <w:gridCol w:w="2251"/>
        <w:gridCol w:w="1648"/>
      </w:tblGrid>
      <w:tr w:rsidR="00B640B7" w:rsidRPr="00143C3A" w:rsidTr="00B640B7">
        <w:tc>
          <w:tcPr>
            <w:tcW w:w="3861" w:type="dxa"/>
          </w:tcPr>
          <w:p w:rsidR="00B640B7" w:rsidRPr="00143C3A" w:rsidRDefault="00B640B7" w:rsidP="00B640B7">
            <w:pPr>
              <w:jc w:val="left"/>
            </w:pPr>
            <w:r w:rsidRPr="00143C3A">
              <w:t xml:space="preserve">Valstybinis brandos egzaminas </w:t>
            </w:r>
          </w:p>
        </w:tc>
        <w:tc>
          <w:tcPr>
            <w:tcW w:w="1525" w:type="dxa"/>
          </w:tcPr>
          <w:p w:rsidR="00B640B7" w:rsidRPr="00143C3A" w:rsidRDefault="00B640B7" w:rsidP="00B640B7">
            <w:pPr>
              <w:ind w:firstLine="0"/>
            </w:pPr>
            <w:r w:rsidRPr="00143C3A">
              <w:t xml:space="preserve">Laikiusiųjų skaičius </w:t>
            </w:r>
          </w:p>
        </w:tc>
        <w:tc>
          <w:tcPr>
            <w:tcW w:w="2276" w:type="dxa"/>
          </w:tcPr>
          <w:p w:rsidR="00B640B7" w:rsidRPr="00143C3A" w:rsidRDefault="00B640B7" w:rsidP="00B640B7">
            <w:pPr>
              <w:ind w:firstLine="0"/>
            </w:pPr>
            <w:r w:rsidRPr="00143C3A">
              <w:t xml:space="preserve">Neišlaikiusiųjų skaičius ir procentas </w:t>
            </w:r>
          </w:p>
        </w:tc>
        <w:tc>
          <w:tcPr>
            <w:tcW w:w="1658" w:type="dxa"/>
          </w:tcPr>
          <w:p w:rsidR="00B640B7" w:rsidRPr="00143C3A" w:rsidRDefault="00B640B7" w:rsidP="00B640B7">
            <w:pPr>
              <w:ind w:firstLine="0"/>
            </w:pPr>
            <w:r w:rsidRPr="00143C3A">
              <w:t xml:space="preserve">Išlaikiusiųjų balų vidurkis </w:t>
            </w:r>
          </w:p>
        </w:tc>
      </w:tr>
      <w:tr w:rsidR="00B640B7" w:rsidRPr="00143C3A" w:rsidTr="00B640B7">
        <w:tc>
          <w:tcPr>
            <w:tcW w:w="3861" w:type="dxa"/>
          </w:tcPr>
          <w:p w:rsidR="00B640B7" w:rsidRPr="00143C3A" w:rsidRDefault="00B640B7" w:rsidP="00B640B7">
            <w:r w:rsidRPr="00143C3A">
              <w:t xml:space="preserve">Informacinės technologijos </w:t>
            </w:r>
          </w:p>
        </w:tc>
        <w:tc>
          <w:tcPr>
            <w:tcW w:w="1525" w:type="dxa"/>
          </w:tcPr>
          <w:p w:rsidR="00B640B7" w:rsidRPr="00143C3A" w:rsidRDefault="00B640B7" w:rsidP="00B640B7">
            <w:r w:rsidRPr="00143C3A">
              <w:t>10</w:t>
            </w:r>
          </w:p>
        </w:tc>
        <w:tc>
          <w:tcPr>
            <w:tcW w:w="2276" w:type="dxa"/>
          </w:tcPr>
          <w:p w:rsidR="00B640B7" w:rsidRPr="00143C3A" w:rsidRDefault="00B640B7" w:rsidP="00B640B7">
            <w:pPr>
              <w:jc w:val="center"/>
            </w:pPr>
            <w:r w:rsidRPr="00143C3A">
              <w:t>3 / 30,00</w:t>
            </w:r>
          </w:p>
        </w:tc>
        <w:tc>
          <w:tcPr>
            <w:tcW w:w="1658" w:type="dxa"/>
          </w:tcPr>
          <w:p w:rsidR="00B640B7" w:rsidRPr="00143C3A" w:rsidRDefault="00B640B7" w:rsidP="00B640B7">
            <w:r w:rsidRPr="00143C3A">
              <w:t>55,14</w:t>
            </w:r>
          </w:p>
        </w:tc>
      </w:tr>
      <w:tr w:rsidR="00B640B7" w:rsidRPr="00143C3A" w:rsidTr="00B640B7">
        <w:tc>
          <w:tcPr>
            <w:tcW w:w="3861" w:type="dxa"/>
          </w:tcPr>
          <w:p w:rsidR="00B640B7" w:rsidRPr="00143C3A" w:rsidRDefault="00B640B7" w:rsidP="00B640B7">
            <w:r w:rsidRPr="00143C3A">
              <w:t xml:space="preserve">Lietuvių kalba ir literatūra  </w:t>
            </w:r>
          </w:p>
        </w:tc>
        <w:tc>
          <w:tcPr>
            <w:tcW w:w="1525" w:type="dxa"/>
          </w:tcPr>
          <w:p w:rsidR="00B640B7" w:rsidRPr="00143C3A" w:rsidRDefault="00B640B7" w:rsidP="00B640B7">
            <w:r w:rsidRPr="00143C3A">
              <w:t>47</w:t>
            </w:r>
          </w:p>
        </w:tc>
        <w:tc>
          <w:tcPr>
            <w:tcW w:w="2276" w:type="dxa"/>
          </w:tcPr>
          <w:p w:rsidR="00B640B7" w:rsidRPr="00143C3A" w:rsidRDefault="00B640B7" w:rsidP="00B640B7">
            <w:pPr>
              <w:jc w:val="center"/>
            </w:pPr>
            <w:r w:rsidRPr="00143C3A">
              <w:t>11 / 23,40</w:t>
            </w:r>
          </w:p>
        </w:tc>
        <w:tc>
          <w:tcPr>
            <w:tcW w:w="1658" w:type="dxa"/>
          </w:tcPr>
          <w:p w:rsidR="00B640B7" w:rsidRPr="00143C3A" w:rsidRDefault="00B640B7" w:rsidP="00B640B7">
            <w:r w:rsidRPr="00143C3A">
              <w:t>36,36</w:t>
            </w:r>
          </w:p>
        </w:tc>
      </w:tr>
      <w:tr w:rsidR="00B640B7" w:rsidRPr="00143C3A" w:rsidTr="00B640B7">
        <w:tc>
          <w:tcPr>
            <w:tcW w:w="3861" w:type="dxa"/>
          </w:tcPr>
          <w:p w:rsidR="00B640B7" w:rsidRPr="00143C3A" w:rsidRDefault="00B640B7" w:rsidP="00B640B7">
            <w:r w:rsidRPr="00143C3A">
              <w:t>Istorija</w:t>
            </w:r>
          </w:p>
        </w:tc>
        <w:tc>
          <w:tcPr>
            <w:tcW w:w="1525" w:type="dxa"/>
          </w:tcPr>
          <w:p w:rsidR="00B640B7" w:rsidRPr="00143C3A" w:rsidRDefault="00B640B7" w:rsidP="00B640B7">
            <w:r w:rsidRPr="00143C3A">
              <w:t>45</w:t>
            </w:r>
          </w:p>
        </w:tc>
        <w:tc>
          <w:tcPr>
            <w:tcW w:w="2276" w:type="dxa"/>
          </w:tcPr>
          <w:p w:rsidR="00B640B7" w:rsidRPr="00143C3A" w:rsidRDefault="00B640B7" w:rsidP="00B640B7">
            <w:pPr>
              <w:jc w:val="center"/>
            </w:pPr>
            <w:r w:rsidRPr="00143C3A">
              <w:t>0 / 0</w:t>
            </w:r>
          </w:p>
        </w:tc>
        <w:tc>
          <w:tcPr>
            <w:tcW w:w="1658" w:type="dxa"/>
          </w:tcPr>
          <w:p w:rsidR="00B640B7" w:rsidRPr="00143C3A" w:rsidRDefault="00B640B7" w:rsidP="00B640B7">
            <w:r w:rsidRPr="00143C3A">
              <w:t>36,98</w:t>
            </w:r>
          </w:p>
        </w:tc>
      </w:tr>
      <w:tr w:rsidR="00B640B7" w:rsidRPr="00143C3A" w:rsidTr="00B640B7">
        <w:tc>
          <w:tcPr>
            <w:tcW w:w="3861" w:type="dxa"/>
          </w:tcPr>
          <w:p w:rsidR="00B640B7" w:rsidRPr="00143C3A" w:rsidRDefault="00B640B7" w:rsidP="00B640B7">
            <w:r w:rsidRPr="00143C3A">
              <w:lastRenderedPageBreak/>
              <w:t xml:space="preserve">Matematika </w:t>
            </w:r>
          </w:p>
        </w:tc>
        <w:tc>
          <w:tcPr>
            <w:tcW w:w="1525" w:type="dxa"/>
          </w:tcPr>
          <w:p w:rsidR="00B640B7" w:rsidRPr="00143C3A" w:rsidRDefault="00B640B7" w:rsidP="00B640B7">
            <w:r w:rsidRPr="00143C3A">
              <w:t>43</w:t>
            </w:r>
          </w:p>
        </w:tc>
        <w:tc>
          <w:tcPr>
            <w:tcW w:w="2276" w:type="dxa"/>
          </w:tcPr>
          <w:p w:rsidR="00B640B7" w:rsidRPr="00143C3A" w:rsidRDefault="00B640B7" w:rsidP="00B640B7">
            <w:pPr>
              <w:jc w:val="center"/>
            </w:pPr>
            <w:r w:rsidRPr="00143C3A">
              <w:t>10 / 23,26</w:t>
            </w:r>
          </w:p>
        </w:tc>
        <w:tc>
          <w:tcPr>
            <w:tcW w:w="1658" w:type="dxa"/>
          </w:tcPr>
          <w:p w:rsidR="00B640B7" w:rsidRPr="00143C3A" w:rsidRDefault="00B640B7" w:rsidP="00B640B7">
            <w:r w:rsidRPr="00143C3A">
              <w:t>35,12</w:t>
            </w:r>
          </w:p>
        </w:tc>
      </w:tr>
      <w:tr w:rsidR="00B640B7" w:rsidRPr="00143C3A" w:rsidTr="00B640B7">
        <w:tc>
          <w:tcPr>
            <w:tcW w:w="3861" w:type="dxa"/>
          </w:tcPr>
          <w:p w:rsidR="00B640B7" w:rsidRPr="00143C3A" w:rsidRDefault="00B640B7" w:rsidP="00B640B7">
            <w:r w:rsidRPr="00143C3A">
              <w:t xml:space="preserve">Chemija </w:t>
            </w:r>
          </w:p>
        </w:tc>
        <w:tc>
          <w:tcPr>
            <w:tcW w:w="1525" w:type="dxa"/>
          </w:tcPr>
          <w:p w:rsidR="00B640B7" w:rsidRPr="00143C3A" w:rsidRDefault="00B640B7" w:rsidP="00B640B7">
            <w:r w:rsidRPr="00143C3A">
              <w:t>2</w:t>
            </w:r>
          </w:p>
        </w:tc>
        <w:tc>
          <w:tcPr>
            <w:tcW w:w="2276" w:type="dxa"/>
          </w:tcPr>
          <w:p w:rsidR="00B640B7" w:rsidRPr="00143C3A" w:rsidRDefault="00B640B7" w:rsidP="00B640B7">
            <w:pPr>
              <w:jc w:val="center"/>
            </w:pPr>
            <w:r w:rsidRPr="00143C3A">
              <w:t>2 / 100,00</w:t>
            </w:r>
          </w:p>
        </w:tc>
        <w:tc>
          <w:tcPr>
            <w:tcW w:w="1658" w:type="dxa"/>
          </w:tcPr>
          <w:p w:rsidR="00B640B7" w:rsidRPr="00143C3A" w:rsidRDefault="00B640B7" w:rsidP="00B640B7">
            <w:r w:rsidRPr="00143C3A">
              <w:t>0</w:t>
            </w:r>
          </w:p>
        </w:tc>
      </w:tr>
      <w:tr w:rsidR="00B640B7" w:rsidRPr="00143C3A" w:rsidTr="00B640B7">
        <w:tc>
          <w:tcPr>
            <w:tcW w:w="3861" w:type="dxa"/>
          </w:tcPr>
          <w:p w:rsidR="00B640B7" w:rsidRPr="00143C3A" w:rsidRDefault="00B640B7" w:rsidP="00B640B7">
            <w:r w:rsidRPr="00143C3A">
              <w:t xml:space="preserve">Anglų kalba </w:t>
            </w:r>
          </w:p>
        </w:tc>
        <w:tc>
          <w:tcPr>
            <w:tcW w:w="1525" w:type="dxa"/>
          </w:tcPr>
          <w:p w:rsidR="00B640B7" w:rsidRPr="00143C3A" w:rsidRDefault="00B640B7" w:rsidP="00B640B7">
            <w:r w:rsidRPr="00143C3A">
              <w:t>54</w:t>
            </w:r>
          </w:p>
        </w:tc>
        <w:tc>
          <w:tcPr>
            <w:tcW w:w="2276" w:type="dxa"/>
          </w:tcPr>
          <w:p w:rsidR="00B640B7" w:rsidRPr="00143C3A" w:rsidRDefault="00B640B7" w:rsidP="00B640B7">
            <w:pPr>
              <w:jc w:val="center"/>
            </w:pPr>
            <w:r w:rsidRPr="00143C3A">
              <w:t>1 / 1,85</w:t>
            </w:r>
          </w:p>
        </w:tc>
        <w:tc>
          <w:tcPr>
            <w:tcW w:w="1658" w:type="dxa"/>
          </w:tcPr>
          <w:p w:rsidR="00B640B7" w:rsidRPr="00143C3A" w:rsidRDefault="00B640B7" w:rsidP="00B640B7">
            <w:r w:rsidRPr="00143C3A">
              <w:t>48,02</w:t>
            </w:r>
          </w:p>
        </w:tc>
      </w:tr>
      <w:tr w:rsidR="00B640B7" w:rsidRPr="00143C3A" w:rsidTr="00B640B7">
        <w:tc>
          <w:tcPr>
            <w:tcW w:w="3861" w:type="dxa"/>
          </w:tcPr>
          <w:p w:rsidR="00B640B7" w:rsidRPr="00143C3A" w:rsidRDefault="00B640B7" w:rsidP="00B640B7">
            <w:r w:rsidRPr="00143C3A">
              <w:t xml:space="preserve">Fizika </w:t>
            </w:r>
          </w:p>
        </w:tc>
        <w:tc>
          <w:tcPr>
            <w:tcW w:w="1525" w:type="dxa"/>
          </w:tcPr>
          <w:p w:rsidR="00B640B7" w:rsidRPr="00143C3A" w:rsidRDefault="00B640B7" w:rsidP="00B640B7">
            <w:r w:rsidRPr="00143C3A">
              <w:t>16</w:t>
            </w:r>
          </w:p>
        </w:tc>
        <w:tc>
          <w:tcPr>
            <w:tcW w:w="2276" w:type="dxa"/>
          </w:tcPr>
          <w:p w:rsidR="00B640B7" w:rsidRPr="00143C3A" w:rsidRDefault="00B640B7" w:rsidP="00B640B7">
            <w:pPr>
              <w:jc w:val="center"/>
            </w:pPr>
            <w:r w:rsidRPr="00143C3A">
              <w:t>3 / 18,75</w:t>
            </w:r>
          </w:p>
        </w:tc>
        <w:tc>
          <w:tcPr>
            <w:tcW w:w="1658" w:type="dxa"/>
          </w:tcPr>
          <w:p w:rsidR="00B640B7" w:rsidRPr="00143C3A" w:rsidRDefault="00B640B7" w:rsidP="00B640B7">
            <w:r w:rsidRPr="00143C3A">
              <w:t>29,71</w:t>
            </w:r>
          </w:p>
        </w:tc>
      </w:tr>
      <w:tr w:rsidR="00B640B7" w:rsidRPr="00143C3A" w:rsidTr="00B640B7">
        <w:tc>
          <w:tcPr>
            <w:tcW w:w="3861" w:type="dxa"/>
          </w:tcPr>
          <w:p w:rsidR="00B640B7" w:rsidRPr="00143C3A" w:rsidRDefault="00B640B7" w:rsidP="00B640B7">
            <w:r w:rsidRPr="00143C3A">
              <w:t xml:space="preserve">Biologija </w:t>
            </w:r>
          </w:p>
        </w:tc>
        <w:tc>
          <w:tcPr>
            <w:tcW w:w="1525" w:type="dxa"/>
          </w:tcPr>
          <w:p w:rsidR="00B640B7" w:rsidRPr="00143C3A" w:rsidRDefault="00B640B7" w:rsidP="00B640B7">
            <w:r w:rsidRPr="00143C3A">
              <w:t>19</w:t>
            </w:r>
          </w:p>
        </w:tc>
        <w:tc>
          <w:tcPr>
            <w:tcW w:w="2276" w:type="dxa"/>
          </w:tcPr>
          <w:p w:rsidR="00B640B7" w:rsidRPr="00143C3A" w:rsidRDefault="00B640B7" w:rsidP="00B640B7">
            <w:pPr>
              <w:jc w:val="center"/>
            </w:pPr>
            <w:r w:rsidRPr="00143C3A">
              <w:t>2 / 10,53</w:t>
            </w:r>
          </w:p>
        </w:tc>
        <w:tc>
          <w:tcPr>
            <w:tcW w:w="1658" w:type="dxa"/>
          </w:tcPr>
          <w:p w:rsidR="00B640B7" w:rsidRPr="00143C3A" w:rsidRDefault="00B640B7" w:rsidP="00B640B7">
            <w:r w:rsidRPr="00143C3A">
              <w:t>37,94</w:t>
            </w:r>
          </w:p>
        </w:tc>
      </w:tr>
      <w:tr w:rsidR="00B640B7" w:rsidRPr="00143C3A" w:rsidTr="00B640B7">
        <w:tc>
          <w:tcPr>
            <w:tcW w:w="3861" w:type="dxa"/>
          </w:tcPr>
          <w:p w:rsidR="00B640B7" w:rsidRPr="00143C3A" w:rsidRDefault="00B640B7" w:rsidP="00B640B7">
            <w:r w:rsidRPr="00143C3A">
              <w:t xml:space="preserve">Geografija </w:t>
            </w:r>
          </w:p>
        </w:tc>
        <w:tc>
          <w:tcPr>
            <w:tcW w:w="1525" w:type="dxa"/>
          </w:tcPr>
          <w:p w:rsidR="00B640B7" w:rsidRPr="00143C3A" w:rsidRDefault="00B640B7" w:rsidP="00B640B7">
            <w:r w:rsidRPr="00143C3A">
              <w:t>20</w:t>
            </w:r>
          </w:p>
        </w:tc>
        <w:tc>
          <w:tcPr>
            <w:tcW w:w="2276" w:type="dxa"/>
          </w:tcPr>
          <w:p w:rsidR="00B640B7" w:rsidRPr="00143C3A" w:rsidRDefault="00B640B7" w:rsidP="00B640B7">
            <w:pPr>
              <w:jc w:val="center"/>
            </w:pPr>
            <w:r w:rsidRPr="00143C3A">
              <w:t>0 / 0</w:t>
            </w:r>
          </w:p>
        </w:tc>
        <w:tc>
          <w:tcPr>
            <w:tcW w:w="1658" w:type="dxa"/>
          </w:tcPr>
          <w:p w:rsidR="00B640B7" w:rsidRPr="00143C3A" w:rsidRDefault="00B640B7" w:rsidP="00B640B7">
            <w:r w:rsidRPr="00143C3A">
              <w:t>35,52</w:t>
            </w:r>
          </w:p>
        </w:tc>
      </w:tr>
    </w:tbl>
    <w:p w:rsidR="00B640B7" w:rsidRDefault="00B640B7" w:rsidP="00E97ECA">
      <w:pPr>
        <w:pStyle w:val="Pagrindiniotekstotrauka"/>
        <w:rPr>
          <w:i/>
        </w:rPr>
      </w:pPr>
    </w:p>
    <w:p w:rsidR="00B640B7" w:rsidRDefault="00B640B7" w:rsidP="00B640B7">
      <w:pPr>
        <w:pStyle w:val="Pagrindiniotekstotrauka"/>
        <w:jc w:val="center"/>
        <w:rPr>
          <w:i/>
        </w:rPr>
      </w:pPr>
      <w:r w:rsidRPr="00B640B7">
        <w:rPr>
          <w:i/>
          <w:noProof/>
          <w:lang w:eastAsia="lt-LT"/>
        </w:rPr>
        <w:drawing>
          <wp:inline distT="0" distB="0" distL="0" distR="0">
            <wp:extent cx="5608955" cy="2677885"/>
            <wp:effectExtent l="19050" t="0" r="10795" b="8165"/>
            <wp:docPr id="9"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B640B7" w:rsidRDefault="00B640B7" w:rsidP="00E97ECA">
      <w:pPr>
        <w:pStyle w:val="Pagrindiniotekstotrauka"/>
        <w:rPr>
          <w:i/>
        </w:rPr>
      </w:pPr>
    </w:p>
    <w:p w:rsidR="00B640B7" w:rsidRDefault="00B640B7" w:rsidP="00E97ECA">
      <w:pPr>
        <w:pStyle w:val="Pagrindiniotekstotrauka"/>
        <w:rPr>
          <w:i/>
        </w:rPr>
      </w:pPr>
    </w:p>
    <w:p w:rsidR="00B640B7" w:rsidRDefault="00B640B7" w:rsidP="00B640B7">
      <w:pPr>
        <w:pStyle w:val="Pagrindiniotekstotrauka"/>
        <w:jc w:val="center"/>
        <w:rPr>
          <w:i/>
        </w:rPr>
      </w:pPr>
      <w:r w:rsidRPr="00B640B7">
        <w:rPr>
          <w:i/>
          <w:noProof/>
          <w:lang w:eastAsia="lt-LT"/>
        </w:rPr>
        <w:drawing>
          <wp:inline distT="0" distB="0" distL="0" distR="0">
            <wp:extent cx="5681428" cy="1844702"/>
            <wp:effectExtent l="19050" t="0" r="14522" b="3148"/>
            <wp:docPr id="10"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B640B7" w:rsidRDefault="00B640B7" w:rsidP="00E97ECA">
      <w:pPr>
        <w:pStyle w:val="Pagrindiniotekstotrauka"/>
        <w:rPr>
          <w:i/>
        </w:rPr>
      </w:pPr>
    </w:p>
    <w:p w:rsidR="00B640B7" w:rsidRPr="00143C3A" w:rsidRDefault="00B640B7" w:rsidP="006D327D">
      <w:pPr>
        <w:jc w:val="left"/>
      </w:pPr>
      <w:r w:rsidRPr="00143C3A">
        <w:t>Laikyti 2 mokykliniai lietuvių kalbos ir literatūros</w:t>
      </w:r>
      <w:r w:rsidR="00EA375E">
        <w:t>,</w:t>
      </w:r>
      <w:r w:rsidRPr="00143C3A">
        <w:t xml:space="preserve"> menų brandos egzaminai. </w:t>
      </w:r>
    </w:p>
    <w:p w:rsidR="00B640B7" w:rsidRPr="00143C3A" w:rsidRDefault="00B640B7" w:rsidP="00B640B7"/>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18"/>
        <w:gridCol w:w="1561"/>
        <w:gridCol w:w="2022"/>
        <w:gridCol w:w="1879"/>
      </w:tblGrid>
      <w:tr w:rsidR="00B640B7" w:rsidRPr="00143C3A" w:rsidTr="00B640B7">
        <w:tc>
          <w:tcPr>
            <w:tcW w:w="3815" w:type="dxa"/>
          </w:tcPr>
          <w:p w:rsidR="00B640B7" w:rsidRPr="00143C3A" w:rsidRDefault="00B640B7" w:rsidP="00B640B7">
            <w:pPr>
              <w:jc w:val="left"/>
            </w:pPr>
            <w:r w:rsidRPr="00143C3A">
              <w:t xml:space="preserve">Mokyklinis brandos egzaminas </w:t>
            </w:r>
          </w:p>
        </w:tc>
        <w:tc>
          <w:tcPr>
            <w:tcW w:w="1571" w:type="dxa"/>
          </w:tcPr>
          <w:p w:rsidR="00B640B7" w:rsidRPr="00143C3A" w:rsidRDefault="00B640B7" w:rsidP="00B640B7">
            <w:pPr>
              <w:ind w:firstLine="0"/>
            </w:pPr>
            <w:r w:rsidRPr="00143C3A">
              <w:t xml:space="preserve">Laikiusiųjų skaičius </w:t>
            </w:r>
          </w:p>
        </w:tc>
        <w:tc>
          <w:tcPr>
            <w:tcW w:w="2036" w:type="dxa"/>
          </w:tcPr>
          <w:p w:rsidR="00B640B7" w:rsidRPr="00143C3A" w:rsidRDefault="00B640B7" w:rsidP="00B640B7">
            <w:pPr>
              <w:ind w:firstLine="0"/>
            </w:pPr>
            <w:r w:rsidRPr="00143C3A">
              <w:t xml:space="preserve">Neišlaikiusiųjų skaičius ir procentas </w:t>
            </w:r>
          </w:p>
        </w:tc>
        <w:tc>
          <w:tcPr>
            <w:tcW w:w="1898" w:type="dxa"/>
          </w:tcPr>
          <w:p w:rsidR="00B640B7" w:rsidRPr="00143C3A" w:rsidRDefault="00B640B7" w:rsidP="00B640B7">
            <w:pPr>
              <w:ind w:firstLine="0"/>
            </w:pPr>
            <w:r w:rsidRPr="00143C3A">
              <w:t xml:space="preserve">Išlaikiusiųjų balų vidurkis </w:t>
            </w:r>
          </w:p>
        </w:tc>
      </w:tr>
      <w:tr w:rsidR="00B640B7" w:rsidRPr="00143C3A" w:rsidTr="00B640B7">
        <w:tc>
          <w:tcPr>
            <w:tcW w:w="3815" w:type="dxa"/>
          </w:tcPr>
          <w:p w:rsidR="00B640B7" w:rsidRPr="00143C3A" w:rsidRDefault="00B640B7" w:rsidP="00B640B7">
            <w:r w:rsidRPr="00143C3A">
              <w:t xml:space="preserve">Lietuvių kalba ir literatūra  </w:t>
            </w:r>
          </w:p>
        </w:tc>
        <w:tc>
          <w:tcPr>
            <w:tcW w:w="1571" w:type="dxa"/>
          </w:tcPr>
          <w:p w:rsidR="00B640B7" w:rsidRPr="00143C3A" w:rsidRDefault="00B640B7" w:rsidP="00B640B7">
            <w:r w:rsidRPr="00143C3A">
              <w:t>27</w:t>
            </w:r>
          </w:p>
        </w:tc>
        <w:tc>
          <w:tcPr>
            <w:tcW w:w="2036" w:type="dxa"/>
          </w:tcPr>
          <w:p w:rsidR="00B640B7" w:rsidRPr="00143C3A" w:rsidRDefault="00B640B7" w:rsidP="00B640B7">
            <w:r w:rsidRPr="00143C3A">
              <w:t>0 / 0</w:t>
            </w:r>
          </w:p>
        </w:tc>
        <w:tc>
          <w:tcPr>
            <w:tcW w:w="1898" w:type="dxa"/>
          </w:tcPr>
          <w:p w:rsidR="00B640B7" w:rsidRPr="00143C3A" w:rsidRDefault="00B640B7" w:rsidP="00B640B7">
            <w:r w:rsidRPr="00143C3A">
              <w:t>4,85</w:t>
            </w:r>
          </w:p>
        </w:tc>
      </w:tr>
      <w:tr w:rsidR="00B640B7" w:rsidRPr="00143C3A" w:rsidTr="00B640B7">
        <w:tc>
          <w:tcPr>
            <w:tcW w:w="3815" w:type="dxa"/>
          </w:tcPr>
          <w:p w:rsidR="00B640B7" w:rsidRPr="00143C3A" w:rsidRDefault="00B640B7" w:rsidP="00B640B7">
            <w:r w:rsidRPr="00143C3A">
              <w:t xml:space="preserve">Menai </w:t>
            </w:r>
          </w:p>
        </w:tc>
        <w:tc>
          <w:tcPr>
            <w:tcW w:w="1571" w:type="dxa"/>
          </w:tcPr>
          <w:p w:rsidR="00B640B7" w:rsidRPr="00143C3A" w:rsidRDefault="00B640B7" w:rsidP="00B640B7">
            <w:r w:rsidRPr="00143C3A">
              <w:t>1</w:t>
            </w:r>
          </w:p>
        </w:tc>
        <w:tc>
          <w:tcPr>
            <w:tcW w:w="2036" w:type="dxa"/>
          </w:tcPr>
          <w:p w:rsidR="00B640B7" w:rsidRPr="00143C3A" w:rsidRDefault="00B640B7" w:rsidP="00B640B7">
            <w:r w:rsidRPr="00143C3A">
              <w:t>0 / 0</w:t>
            </w:r>
          </w:p>
        </w:tc>
        <w:tc>
          <w:tcPr>
            <w:tcW w:w="1898" w:type="dxa"/>
          </w:tcPr>
          <w:p w:rsidR="00B640B7" w:rsidRPr="00143C3A" w:rsidRDefault="00B640B7" w:rsidP="00B640B7">
            <w:r w:rsidRPr="00143C3A">
              <w:t>7,00</w:t>
            </w:r>
          </w:p>
        </w:tc>
      </w:tr>
    </w:tbl>
    <w:p w:rsidR="00B640B7" w:rsidRPr="00143C3A" w:rsidRDefault="00B640B7" w:rsidP="00B640B7"/>
    <w:p w:rsidR="00B640B7" w:rsidRPr="00143C3A" w:rsidRDefault="00B640B7" w:rsidP="006D327D">
      <w:pPr>
        <w:ind w:firstLine="0"/>
        <w:jc w:val="left"/>
      </w:pPr>
      <w:r w:rsidRPr="00143C3A">
        <w:t xml:space="preserve">           Pagrindinio ugdymo pasiekimų patikrinime dalyvavo: matematikos 98 dešimtokai, įvertinimų vidurkis – 5,11;  lietuvių k. – 98 dešimtokai, įvertinimų  vidurkis – 6,08.  </w:t>
      </w:r>
    </w:p>
    <w:p w:rsidR="00B640B7" w:rsidRPr="00143C3A" w:rsidRDefault="00B640B7" w:rsidP="00B640B7">
      <w:pPr>
        <w:ind w:firstLine="0"/>
      </w:pPr>
    </w:p>
    <w:p w:rsidR="00B640B7" w:rsidRDefault="00B640B7" w:rsidP="00B640B7">
      <w:pPr>
        <w:pStyle w:val="Pagrindiniotekstotrauka"/>
        <w:jc w:val="center"/>
        <w:rPr>
          <w:i/>
        </w:rPr>
      </w:pPr>
      <w:r w:rsidRPr="00B640B7">
        <w:rPr>
          <w:i/>
          <w:noProof/>
          <w:lang w:eastAsia="lt-LT"/>
        </w:rPr>
        <w:lastRenderedPageBreak/>
        <w:drawing>
          <wp:inline distT="0" distB="0" distL="0" distR="0">
            <wp:extent cx="5780019" cy="2170706"/>
            <wp:effectExtent l="19050" t="0" r="11181" b="994"/>
            <wp:docPr id="11" name="Diagrama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B640B7" w:rsidRDefault="00B640B7" w:rsidP="00E97ECA">
      <w:pPr>
        <w:pStyle w:val="Pagrindiniotekstotrauka"/>
        <w:rPr>
          <w:i/>
        </w:rPr>
      </w:pPr>
    </w:p>
    <w:p w:rsidR="00B640B7" w:rsidRDefault="00B640B7" w:rsidP="00B640B7">
      <w:pPr>
        <w:pStyle w:val="Pagrindiniotekstotrauka"/>
        <w:jc w:val="center"/>
        <w:rPr>
          <w:i/>
        </w:rPr>
      </w:pPr>
      <w:r w:rsidRPr="00B640B7">
        <w:rPr>
          <w:i/>
          <w:noProof/>
          <w:lang w:eastAsia="lt-LT"/>
        </w:rPr>
        <w:drawing>
          <wp:inline distT="0" distB="0" distL="0" distR="0">
            <wp:extent cx="5363983" cy="2297927"/>
            <wp:effectExtent l="19050" t="0" r="27167" b="7123"/>
            <wp:docPr id="12" name="Diagrama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B640B7" w:rsidRDefault="00B640B7" w:rsidP="00E97ECA">
      <w:pPr>
        <w:pStyle w:val="Pagrindiniotekstotrauka"/>
        <w:rPr>
          <w:i/>
        </w:rPr>
      </w:pPr>
    </w:p>
    <w:p w:rsidR="00B640B7" w:rsidRDefault="00B640B7" w:rsidP="00E97ECA">
      <w:pPr>
        <w:pStyle w:val="Pagrindiniotekstotrauka"/>
        <w:rPr>
          <w:i/>
        </w:rPr>
      </w:pPr>
    </w:p>
    <w:p w:rsidR="00EE556F" w:rsidRDefault="00EE556F" w:rsidP="006D327D">
      <w:pPr>
        <w:jc w:val="left"/>
      </w:pPr>
      <w:r>
        <w:t>2015 m. 3 mėnesius pradėta įgyvendinti Neformaliojo vaikų švietimo programa. Jai vykdyti skirta 9630 Eur. 7 švietimo teikėjai teikė paraiškas, programas vykdė 6 švietimo teikėjai. Programose dalyvavo 214 vaikų. Vienam vaikui skirta 15 Eur/mėn.</w:t>
      </w:r>
    </w:p>
    <w:p w:rsidR="00B640B7" w:rsidRPr="00143C3A" w:rsidRDefault="00B640B7" w:rsidP="006D327D">
      <w:pPr>
        <w:jc w:val="left"/>
      </w:pPr>
      <w:r w:rsidRPr="00143C3A">
        <w:t xml:space="preserve">Rietavo savivaldybės švietimo įstaigos 2015 metais dalyvavo Vaikų socializacijos programų rėmimo konkurse. Savivaldybė šioms programoms vykdyti skyrė 5700 </w:t>
      </w:r>
      <w:r w:rsidR="00D224DB" w:rsidRPr="00143C3A">
        <w:t>E</w:t>
      </w:r>
      <w:r w:rsidRPr="00143C3A">
        <w:t>ur. Pateiktos 24 paraiškos, finansuotos 24. Vaikų vasaros poilsio stovyklose dalyvavo 496 vaik</w:t>
      </w:r>
      <w:r w:rsidR="00D224DB">
        <w:t>ai</w:t>
      </w:r>
      <w:r w:rsidRPr="00143C3A">
        <w:t xml:space="preserve">. </w:t>
      </w:r>
    </w:p>
    <w:p w:rsidR="00B640B7" w:rsidRPr="00143C3A" w:rsidRDefault="00B640B7" w:rsidP="006D327D">
      <w:pPr>
        <w:tabs>
          <w:tab w:val="num" w:pos="720"/>
        </w:tabs>
        <w:jc w:val="left"/>
      </w:pPr>
      <w:r w:rsidRPr="00143C3A">
        <w:t xml:space="preserve">Nuo 2015 m. spalio 1 d. pradėtos iš krepšelio finansuoti </w:t>
      </w:r>
      <w:r w:rsidRPr="00143C3A">
        <w:rPr>
          <w:lang w:val="en-US"/>
        </w:rPr>
        <w:t xml:space="preserve">neformaliojo švietimo programos. 2015 metais (3 mėn.) </w:t>
      </w:r>
      <w:r w:rsidR="00D224DB">
        <w:rPr>
          <w:lang w:val="en-US"/>
        </w:rPr>
        <w:t xml:space="preserve">joms </w:t>
      </w:r>
      <w:r w:rsidRPr="00143C3A">
        <w:rPr>
          <w:lang w:val="en-US"/>
        </w:rPr>
        <w:t>vykdyti buvo skirta 9630 Eur.</w:t>
      </w:r>
      <w:r w:rsidRPr="00143C3A">
        <w:t xml:space="preserve"> Rietavo savivaldybėje 6 švietimo teikėjai vykdė septynias neformaliojo vaikų švietimo programas. Programose dalyvavo 214 savivaldybės vaikų. Vienam vaikui buvo skirta 15 Eur/mėn. </w:t>
      </w:r>
    </w:p>
    <w:p w:rsidR="00B640B7" w:rsidRPr="00143C3A" w:rsidRDefault="00B640B7" w:rsidP="00B640B7">
      <w:pPr>
        <w:ind w:right="567"/>
        <w:rPr>
          <w:i/>
        </w:rPr>
      </w:pPr>
      <w:r w:rsidRPr="00143C3A">
        <w:tab/>
      </w:r>
    </w:p>
    <w:p w:rsidR="00E97ECA" w:rsidRPr="00B640B7" w:rsidRDefault="00E97ECA" w:rsidP="00E97ECA">
      <w:pPr>
        <w:jc w:val="center"/>
        <w:rPr>
          <w:b/>
          <w:color w:val="000000"/>
          <w:szCs w:val="24"/>
        </w:rPr>
      </w:pPr>
      <w:r w:rsidRPr="00B640B7">
        <w:rPr>
          <w:b/>
          <w:color w:val="000000"/>
          <w:szCs w:val="24"/>
        </w:rPr>
        <w:t>KULTŪRA</w:t>
      </w:r>
    </w:p>
    <w:p w:rsidR="00E97ECA" w:rsidRPr="00630125" w:rsidRDefault="00E97ECA" w:rsidP="00E97ECA">
      <w:pPr>
        <w:rPr>
          <w:b/>
          <w:i/>
          <w:color w:val="000000"/>
          <w:szCs w:val="24"/>
        </w:rPr>
      </w:pPr>
    </w:p>
    <w:p w:rsidR="00B640B7" w:rsidRDefault="00B640B7" w:rsidP="006D327D">
      <w:pPr>
        <w:tabs>
          <w:tab w:val="left" w:pos="1247"/>
        </w:tabs>
        <w:jc w:val="left"/>
        <w:rPr>
          <w:szCs w:val="24"/>
        </w:rPr>
      </w:pPr>
      <w:r w:rsidRPr="00AD025E">
        <w:rPr>
          <w:szCs w:val="24"/>
        </w:rPr>
        <w:t xml:space="preserve">Rietavo savivaldybės Švietimo, kultūros ir sporto skyriaus vedėjas ir pavaduotojas kultūrai vykdo </w:t>
      </w:r>
      <w:r w:rsidR="00D224DB" w:rsidRPr="00AD025E">
        <w:rPr>
          <w:szCs w:val="24"/>
        </w:rPr>
        <w:t xml:space="preserve">viešąjį </w:t>
      </w:r>
      <w:r w:rsidRPr="00AD025E">
        <w:rPr>
          <w:szCs w:val="24"/>
        </w:rPr>
        <w:t xml:space="preserve">kultūros įstaigų administravimą ir kartu su Savivaldybės kultūros įstaigomis įgyvendina valstybinę ir Savivaldybės kultūros politiką. Rietavo savivaldybėje yra šios kultūros įstaigos: Rietavo kultūros centras su filialais, Rietavo savivaldybės Irenėjaus Oginskio viešoji biblioteka su filialais, Rietavo Oginskių kultūros istorijos muziejus. Pavaduotojas kultūrai rengia, o vedėjas teikia informaciją, statistinę ir metines  ataskaitas LR kultūros ministerijai, Lietuvos liaudies kultūros centrui; nuolat teikia informaciją apie kultūrinę veiklą,  metinę statistinę atskaitą; apie valstybines šventes ir kitus renginius informaciją siunčia Lietuvos savivaldybių asociacijai, Lietuvos Respublikos Seimui; informaciją apie mokyklų bibliotekų veiklą ir jų statistines </w:t>
      </w:r>
      <w:r w:rsidRPr="00AD025E">
        <w:rPr>
          <w:szCs w:val="24"/>
        </w:rPr>
        <w:lastRenderedPageBreak/>
        <w:t>ataskaitas teikia Martyno Mažvydo nacionalinės bibliotekos Bibliotekininkystės centrui; dalyvauja Žemaitijos regioninėje etninės kultūros globos taryboje, teikia ataskaitas.</w:t>
      </w:r>
    </w:p>
    <w:p w:rsidR="00B640B7" w:rsidRPr="00AD025E" w:rsidRDefault="00B640B7" w:rsidP="006D327D">
      <w:pPr>
        <w:tabs>
          <w:tab w:val="left" w:pos="1247"/>
        </w:tabs>
        <w:jc w:val="left"/>
        <w:rPr>
          <w:szCs w:val="24"/>
        </w:rPr>
      </w:pPr>
      <w:r w:rsidRPr="00AD025E">
        <w:rPr>
          <w:szCs w:val="24"/>
        </w:rPr>
        <w:t xml:space="preserve"> Pavaduotojas kultūrai nuolat bendradarbiauja su leidyklomis ir teikia Rietavo savivaldybės švietimo įstaigoms informaciją apie jų veiklą, galimus įsigyti vadovėlius, jų kainas; teikia informaciją LR švietimo ir mokslo ministerijos Švietimo aprūpinimo centrui. Vyko glaudus bendradarbiavimas su užsienio partneriais iš Gulbenės (Latvija), kultūrinio bendradarbiavimo išvyka į Kenčiną (Lenkija).</w:t>
      </w:r>
      <w:r>
        <w:rPr>
          <w:szCs w:val="24"/>
        </w:rPr>
        <w:t xml:space="preserve"> Pasirašyta bendradarbiavimo sutartis su Kenčino savivaldybe.   </w:t>
      </w:r>
    </w:p>
    <w:p w:rsidR="00B640B7" w:rsidRDefault="00B640B7" w:rsidP="006D327D">
      <w:pPr>
        <w:tabs>
          <w:tab w:val="num" w:pos="720"/>
        </w:tabs>
        <w:jc w:val="left"/>
        <w:rPr>
          <w:szCs w:val="24"/>
        </w:rPr>
      </w:pPr>
      <w:r w:rsidRPr="00AD025E">
        <w:rPr>
          <w:bCs/>
          <w:szCs w:val="24"/>
          <w:lang w:bidi="en-US"/>
        </w:rPr>
        <w:t>Organizuotos valstybinės šventės ir renginiai, skirti Sausio 13-ajai, Vasario 16-ajai</w:t>
      </w:r>
      <w:r>
        <w:rPr>
          <w:bCs/>
          <w:szCs w:val="24"/>
          <w:lang w:bidi="en-US"/>
        </w:rPr>
        <w:t>, koncertavo svečiai iš Gulbenės</w:t>
      </w:r>
      <w:r w:rsidRPr="00AD025E">
        <w:rPr>
          <w:bCs/>
          <w:szCs w:val="24"/>
          <w:lang w:bidi="en-US"/>
        </w:rPr>
        <w:t>, Kovo 11-ajai</w:t>
      </w:r>
      <w:r>
        <w:rPr>
          <w:bCs/>
          <w:szCs w:val="24"/>
          <w:lang w:bidi="en-US"/>
        </w:rPr>
        <w:t xml:space="preserve"> vyko akcija</w:t>
      </w:r>
      <w:r w:rsidR="00D224DB">
        <w:rPr>
          <w:bCs/>
          <w:szCs w:val="24"/>
          <w:lang w:bidi="en-US"/>
        </w:rPr>
        <w:t>,</w:t>
      </w:r>
      <w:r>
        <w:rPr>
          <w:bCs/>
          <w:szCs w:val="24"/>
          <w:lang w:bidi="en-US"/>
        </w:rPr>
        <w:t xml:space="preserve"> skirta šios datos 25-mečiui</w:t>
      </w:r>
      <w:r w:rsidRPr="00AD025E">
        <w:rPr>
          <w:bCs/>
          <w:szCs w:val="24"/>
          <w:lang w:bidi="en-US"/>
        </w:rPr>
        <w:t xml:space="preserve">, Gedulo ir vilties dienai paminėti. </w:t>
      </w:r>
      <w:r w:rsidRPr="00AD025E">
        <w:rPr>
          <w:bCs/>
          <w:szCs w:val="24"/>
        </w:rPr>
        <w:t xml:space="preserve">Organizuoti renginiai: </w:t>
      </w:r>
      <w:r>
        <w:rPr>
          <w:bCs/>
          <w:szCs w:val="24"/>
        </w:rPr>
        <w:t>t</w:t>
      </w:r>
      <w:r w:rsidRPr="00AD025E">
        <w:rPr>
          <w:bCs/>
          <w:szCs w:val="24"/>
        </w:rPr>
        <w:t xml:space="preserve">radicinės </w:t>
      </w:r>
      <w:r>
        <w:rPr>
          <w:bCs/>
          <w:szCs w:val="24"/>
        </w:rPr>
        <w:t>T</w:t>
      </w:r>
      <w:r w:rsidRPr="00AD025E">
        <w:rPr>
          <w:bCs/>
          <w:szCs w:val="24"/>
        </w:rPr>
        <w:t>eatro dienos, Vaikystės šventė, Poezijos pavasaris, Motinos diena, Rietavo vasaros vaidinimai, Gražiausiai tvarkomų sklypų apžiūr</w:t>
      </w:r>
      <w:r>
        <w:rPr>
          <w:bCs/>
          <w:szCs w:val="24"/>
        </w:rPr>
        <w:t xml:space="preserve">a-konkursas, </w:t>
      </w:r>
      <w:r w:rsidRPr="00AD025E">
        <w:rPr>
          <w:bCs/>
          <w:szCs w:val="24"/>
        </w:rPr>
        <w:t>Gražiausių vitrinų konkursas, kalėdiniai</w:t>
      </w:r>
      <w:r>
        <w:rPr>
          <w:bCs/>
          <w:szCs w:val="24"/>
        </w:rPr>
        <w:t>-</w:t>
      </w:r>
      <w:r w:rsidRPr="00AD025E">
        <w:rPr>
          <w:bCs/>
          <w:szCs w:val="24"/>
        </w:rPr>
        <w:t xml:space="preserve">naujametiniai renginiai, Rietavo savivaldybės mero padėkos vakaras, </w:t>
      </w:r>
      <w:r>
        <w:rPr>
          <w:bCs/>
          <w:szCs w:val="24"/>
        </w:rPr>
        <w:t xml:space="preserve">Rietavo kraštiečių klubo sueiga. </w:t>
      </w:r>
      <w:r w:rsidR="00D224DB">
        <w:rPr>
          <w:bCs/>
          <w:szCs w:val="24"/>
        </w:rPr>
        <w:t>R</w:t>
      </w:r>
      <w:r>
        <w:rPr>
          <w:bCs/>
          <w:szCs w:val="24"/>
        </w:rPr>
        <w:t xml:space="preserve">engiant projektus </w:t>
      </w:r>
      <w:r w:rsidR="00D224DB">
        <w:rPr>
          <w:bCs/>
          <w:szCs w:val="24"/>
        </w:rPr>
        <w:t xml:space="preserve">bendradarbiauta </w:t>
      </w:r>
      <w:r>
        <w:rPr>
          <w:bCs/>
          <w:szCs w:val="24"/>
        </w:rPr>
        <w:t xml:space="preserve">su „Lietuvos energija“ UAB, Kultūros ministerija. </w:t>
      </w:r>
      <w:r w:rsidRPr="00AD025E">
        <w:rPr>
          <w:bCs/>
          <w:szCs w:val="24"/>
          <w:lang w:bidi="en-US"/>
        </w:rPr>
        <w:t>Vyko etnokultūriniai renginiai: Užgavėnės, velykinės popietės ir kt.</w:t>
      </w:r>
      <w:r>
        <w:rPr>
          <w:bCs/>
          <w:szCs w:val="24"/>
          <w:lang w:bidi="en-US"/>
        </w:rPr>
        <w:t xml:space="preserve"> Bendradarbiavome su Etnokultūros globos taryba, prisidėjome organizuojant pėsčiųjų žygį „Žemaitijos piliakalniai ir k</w:t>
      </w:r>
      <w:r w:rsidR="00D224DB">
        <w:rPr>
          <w:bCs/>
          <w:szCs w:val="24"/>
          <w:lang w:bidi="en-US"/>
        </w:rPr>
        <w:t>ū</w:t>
      </w:r>
      <w:r>
        <w:rPr>
          <w:bCs/>
          <w:szCs w:val="24"/>
          <w:lang w:bidi="en-US"/>
        </w:rPr>
        <w:t>lgrindos“.</w:t>
      </w:r>
      <w:r w:rsidRPr="00AD025E">
        <w:rPr>
          <w:bCs/>
          <w:szCs w:val="24"/>
          <w:lang w:bidi="en-US"/>
        </w:rPr>
        <w:t xml:space="preserve"> </w:t>
      </w:r>
      <w:r w:rsidRPr="00AD025E">
        <w:rPr>
          <w:szCs w:val="24"/>
        </w:rPr>
        <w:t xml:space="preserve"> </w:t>
      </w:r>
    </w:p>
    <w:p w:rsidR="00E66030" w:rsidRPr="00EE556F" w:rsidRDefault="0095747B" w:rsidP="006D327D">
      <w:pPr>
        <w:jc w:val="left"/>
        <w:rPr>
          <w:szCs w:val="24"/>
        </w:rPr>
      </w:pPr>
      <w:r w:rsidRPr="00EE556F">
        <w:rPr>
          <w:bCs/>
          <w:szCs w:val="24"/>
        </w:rPr>
        <w:t xml:space="preserve">2015 m. buvo paskelbti M. K. Oginskio metais. Tai progai paminėti vyko daug renginių: Rietavo Oginskių kultūros istorijos muziejaus paroda „Mykolas Kleopas Oginskis. Sugrįžimas į Tėvynę“, suorganizuota Lietuvos Respublikos Seime, pristatyta opera vaikams „Oginskio vaikystė“, Rietavo Mykolo Kleopo Oginskio meno mokyklos organizuotas II Tarptautinis M. K. Oginskio kamerinės muzikos atlikėjų festivalis-konkursas „Mykolo Kleopo Oginskio kūrybos perlai“, Maladečino (Baltarusija) Mykolo Kleopo Oginskio muzikos kolegijos simfoninio orkestro koncertas Rietave, XI tarptautinė mokslinė konferencija „Kunigaikščių Oginskių kultūrinės, politinės veiklos pėdsakai: praeities refleksijos, ateities perspektyvos“, Mykolinių šventė, kurios metu atidengtas paminklas Oginskių dinastijai, ir kt. </w:t>
      </w:r>
    </w:p>
    <w:p w:rsidR="00EE556F" w:rsidRPr="00AD025E" w:rsidRDefault="0095747B" w:rsidP="006D327D">
      <w:pPr>
        <w:jc w:val="left"/>
        <w:rPr>
          <w:szCs w:val="24"/>
        </w:rPr>
      </w:pPr>
      <w:r w:rsidRPr="00EE556F">
        <w:rPr>
          <w:bCs/>
          <w:szCs w:val="24"/>
        </w:rPr>
        <w:t xml:space="preserve">2015 m. Rietave organizuotas tautinės muzikos ansamblių ir orkestrų festivalis „Trimitatis“. </w:t>
      </w:r>
    </w:p>
    <w:p w:rsidR="00B640B7" w:rsidRPr="00AD025E" w:rsidRDefault="00B640B7" w:rsidP="006D327D">
      <w:pPr>
        <w:ind w:firstLine="576"/>
        <w:jc w:val="left"/>
        <w:rPr>
          <w:szCs w:val="24"/>
        </w:rPr>
      </w:pPr>
      <w:r w:rsidRPr="00AD025E">
        <w:rPr>
          <w:szCs w:val="24"/>
        </w:rPr>
        <w:t xml:space="preserve"> Parašyti 3 straipsniai Savivaldybės spaudoje. Rietavo savivaldybės žiniasklaidai teikiama informacija apie įvairius renginius. Nuolat teikiama medžiaga žurnalui „Kultūros aktu</w:t>
      </w:r>
      <w:r>
        <w:rPr>
          <w:szCs w:val="24"/>
        </w:rPr>
        <w:t>alijos“. Užsakyt</w:t>
      </w:r>
      <w:r w:rsidR="00D224DB">
        <w:rPr>
          <w:szCs w:val="24"/>
        </w:rPr>
        <w:t>a</w:t>
      </w:r>
      <w:r>
        <w:rPr>
          <w:szCs w:val="24"/>
        </w:rPr>
        <w:t xml:space="preserve"> ir pagamint</w:t>
      </w:r>
      <w:r w:rsidR="00D224DB">
        <w:rPr>
          <w:szCs w:val="24"/>
        </w:rPr>
        <w:t>a</w:t>
      </w:r>
      <w:r>
        <w:rPr>
          <w:szCs w:val="24"/>
        </w:rPr>
        <w:t xml:space="preserve"> 3</w:t>
      </w:r>
      <w:r w:rsidRPr="00AD025E">
        <w:rPr>
          <w:szCs w:val="24"/>
        </w:rPr>
        <w:t xml:space="preserve"> rūšių</w:t>
      </w:r>
      <w:r>
        <w:rPr>
          <w:szCs w:val="24"/>
        </w:rPr>
        <w:t xml:space="preserve"> plakatai renginiams, kvietim</w:t>
      </w:r>
      <w:r w:rsidR="00D224DB">
        <w:rPr>
          <w:szCs w:val="24"/>
        </w:rPr>
        <w:t>ų</w:t>
      </w:r>
      <w:r>
        <w:rPr>
          <w:szCs w:val="24"/>
        </w:rPr>
        <w:t>, vok</w:t>
      </w:r>
      <w:r w:rsidR="00D224DB">
        <w:rPr>
          <w:szCs w:val="24"/>
        </w:rPr>
        <w:t>ų</w:t>
      </w:r>
      <w:r>
        <w:rPr>
          <w:szCs w:val="24"/>
        </w:rPr>
        <w:t>, buklet</w:t>
      </w:r>
      <w:r w:rsidR="00D224DB">
        <w:rPr>
          <w:szCs w:val="24"/>
        </w:rPr>
        <w:t>ų</w:t>
      </w:r>
      <w:r>
        <w:rPr>
          <w:szCs w:val="24"/>
        </w:rPr>
        <w:t>. Užsakyt</w:t>
      </w:r>
      <w:r w:rsidR="00D224DB">
        <w:rPr>
          <w:szCs w:val="24"/>
        </w:rPr>
        <w:t>a</w:t>
      </w:r>
      <w:r>
        <w:rPr>
          <w:szCs w:val="24"/>
        </w:rPr>
        <w:t xml:space="preserve"> reprezentacini</w:t>
      </w:r>
      <w:r w:rsidR="00D224DB">
        <w:rPr>
          <w:szCs w:val="24"/>
        </w:rPr>
        <w:t>ų</w:t>
      </w:r>
      <w:r>
        <w:rPr>
          <w:szCs w:val="24"/>
        </w:rPr>
        <w:t xml:space="preserve"> suvenyr</w:t>
      </w:r>
      <w:r w:rsidR="00D224DB">
        <w:rPr>
          <w:szCs w:val="24"/>
        </w:rPr>
        <w:t>ų ir dovanų</w:t>
      </w:r>
      <w:r>
        <w:rPr>
          <w:szCs w:val="24"/>
        </w:rPr>
        <w:t>.</w:t>
      </w:r>
    </w:p>
    <w:p w:rsidR="00B640B7" w:rsidRPr="00AD025E" w:rsidRDefault="00B640B7" w:rsidP="006D327D">
      <w:pPr>
        <w:ind w:firstLine="576"/>
        <w:jc w:val="left"/>
        <w:rPr>
          <w:szCs w:val="24"/>
        </w:rPr>
      </w:pPr>
      <w:r w:rsidRPr="00AD025E">
        <w:rPr>
          <w:szCs w:val="24"/>
        </w:rPr>
        <w:t xml:space="preserve"> Skyriaus vedėj</w:t>
      </w:r>
      <w:r>
        <w:rPr>
          <w:szCs w:val="24"/>
        </w:rPr>
        <w:t>as ir pavaduotojas kultūrai 2015 m.</w:t>
      </w:r>
      <w:r w:rsidRPr="00AD025E">
        <w:rPr>
          <w:szCs w:val="24"/>
        </w:rPr>
        <w:t xml:space="preserve"> teikė profesinę pagalb</w:t>
      </w:r>
      <w:r>
        <w:rPr>
          <w:szCs w:val="24"/>
        </w:rPr>
        <w:t xml:space="preserve">ą kultūros įstaigų vadovams ir </w:t>
      </w:r>
      <w:r w:rsidRPr="00AD025E">
        <w:rPr>
          <w:szCs w:val="24"/>
        </w:rPr>
        <w:t xml:space="preserve">darbuotojams, organizavo ir dalyvavo kultūros darbuotojų metodiniuose pasitarimuose, rengė kultūros plėtros programas, jas įgyvendino. </w:t>
      </w:r>
    </w:p>
    <w:p w:rsidR="00B640B7" w:rsidRPr="00AD025E" w:rsidRDefault="00B640B7" w:rsidP="006D327D">
      <w:pPr>
        <w:ind w:firstLine="576"/>
        <w:jc w:val="left"/>
        <w:rPr>
          <w:szCs w:val="24"/>
        </w:rPr>
      </w:pPr>
      <w:r w:rsidRPr="00AD025E">
        <w:rPr>
          <w:szCs w:val="24"/>
        </w:rPr>
        <w:t xml:space="preserve">  Dalyvavo LR kultūros ministerijos organizuojamuose pasitarimuose, kultūros vadovų asociacijos mokymuose, seminaruose. Koordinavo Rietavo savivaldybės kultūros įstaigų veiklą.  </w:t>
      </w:r>
      <w:r>
        <w:rPr>
          <w:szCs w:val="24"/>
        </w:rPr>
        <w:t xml:space="preserve">Dalyvavo </w:t>
      </w:r>
      <w:r w:rsidRPr="00AD025E">
        <w:rPr>
          <w:szCs w:val="24"/>
        </w:rPr>
        <w:t>Rietavo savivaldybės moksleivių meninio skaitymo, Tarmiško skaitymo konkursų komisijose.</w:t>
      </w:r>
    </w:p>
    <w:p w:rsidR="00B640B7" w:rsidRPr="00AD025E" w:rsidRDefault="00B640B7" w:rsidP="006D327D">
      <w:pPr>
        <w:ind w:firstLine="576"/>
        <w:jc w:val="left"/>
        <w:rPr>
          <w:szCs w:val="24"/>
        </w:rPr>
      </w:pPr>
      <w:r w:rsidRPr="00AD025E">
        <w:rPr>
          <w:szCs w:val="24"/>
        </w:rPr>
        <w:t xml:space="preserve"> Skyriui pavaldžiose kultūros įstaigose vyko daug renginių</w:t>
      </w:r>
      <w:r>
        <w:rPr>
          <w:szCs w:val="24"/>
        </w:rPr>
        <w:t xml:space="preserve"> –</w:t>
      </w:r>
      <w:r w:rsidRPr="00AD025E">
        <w:rPr>
          <w:szCs w:val="24"/>
        </w:rPr>
        <w:t xml:space="preserve"> Rietavo kultūr</w:t>
      </w:r>
      <w:r>
        <w:rPr>
          <w:szCs w:val="24"/>
        </w:rPr>
        <w:t>os centre ir jo filialuose – 286</w:t>
      </w:r>
      <w:r w:rsidRPr="00AD025E">
        <w:rPr>
          <w:szCs w:val="24"/>
        </w:rPr>
        <w:t xml:space="preserve"> renginiai, kuriuose a</w:t>
      </w:r>
      <w:r>
        <w:rPr>
          <w:szCs w:val="24"/>
        </w:rPr>
        <w:t>psilankė ir dalyvavo apie 39894</w:t>
      </w:r>
      <w:r w:rsidRPr="00AD025E">
        <w:rPr>
          <w:szCs w:val="24"/>
        </w:rPr>
        <w:t xml:space="preserve"> lankytoj</w:t>
      </w:r>
      <w:r w:rsidR="00D224DB">
        <w:rPr>
          <w:szCs w:val="24"/>
        </w:rPr>
        <w:t>ai</w:t>
      </w:r>
      <w:r w:rsidRPr="00AD025E">
        <w:rPr>
          <w:szCs w:val="24"/>
        </w:rPr>
        <w:t>. Kultūros c</w:t>
      </w:r>
      <w:r>
        <w:rPr>
          <w:szCs w:val="24"/>
        </w:rPr>
        <w:t>entre ir jo filialuose veikia 23</w:t>
      </w:r>
      <w:r w:rsidRPr="00AD025E">
        <w:rPr>
          <w:szCs w:val="24"/>
        </w:rPr>
        <w:t xml:space="preserve"> meno kolektyv</w:t>
      </w:r>
      <w:r>
        <w:rPr>
          <w:szCs w:val="24"/>
        </w:rPr>
        <w:t>ai</w:t>
      </w:r>
      <w:r w:rsidRPr="00AD025E">
        <w:rPr>
          <w:szCs w:val="24"/>
        </w:rPr>
        <w:t xml:space="preserve"> ir klub</w:t>
      </w:r>
      <w:r>
        <w:rPr>
          <w:szCs w:val="24"/>
        </w:rPr>
        <w:t>ai</w:t>
      </w:r>
      <w:r w:rsidRPr="00AD025E">
        <w:rPr>
          <w:szCs w:val="24"/>
        </w:rPr>
        <w:t>, juo</w:t>
      </w:r>
      <w:r>
        <w:rPr>
          <w:szCs w:val="24"/>
        </w:rPr>
        <w:t>se dalyvauja 264</w:t>
      </w:r>
      <w:r w:rsidRPr="00AD025E">
        <w:rPr>
          <w:szCs w:val="24"/>
        </w:rPr>
        <w:t xml:space="preserve"> dalyviai.</w:t>
      </w:r>
    </w:p>
    <w:p w:rsidR="00B640B7" w:rsidRPr="00AD025E" w:rsidRDefault="00B640B7" w:rsidP="006D327D">
      <w:pPr>
        <w:ind w:firstLine="576"/>
        <w:jc w:val="left"/>
        <w:rPr>
          <w:szCs w:val="24"/>
        </w:rPr>
      </w:pPr>
      <w:r w:rsidRPr="00AD025E">
        <w:rPr>
          <w:szCs w:val="24"/>
        </w:rPr>
        <w:t>Rietavo Oginskių ku</w:t>
      </w:r>
      <w:r>
        <w:rPr>
          <w:szCs w:val="24"/>
        </w:rPr>
        <w:t>ltūros istorijos muziejuje vyko 6 parodos</w:t>
      </w:r>
      <w:r w:rsidRPr="00AD025E">
        <w:rPr>
          <w:szCs w:val="24"/>
        </w:rPr>
        <w:t>,</w:t>
      </w:r>
      <w:r>
        <w:rPr>
          <w:szCs w:val="24"/>
        </w:rPr>
        <w:t xml:space="preserve"> vykdytos 6 edukacinės programos, vykdyti 6 projektai, suorganizuota 15 muziejaus renginių</w:t>
      </w:r>
      <w:r w:rsidRPr="00AD025E">
        <w:rPr>
          <w:szCs w:val="24"/>
        </w:rPr>
        <w:t>. Organizuotos mokslinės konferencijos ir parengti mokslin</w:t>
      </w:r>
      <w:r>
        <w:rPr>
          <w:szCs w:val="24"/>
        </w:rPr>
        <w:t xml:space="preserve">iai pranešimai.  Apsilankė 10826 </w:t>
      </w:r>
      <w:r w:rsidRPr="00AD025E">
        <w:rPr>
          <w:szCs w:val="24"/>
        </w:rPr>
        <w:t>lankytoj</w:t>
      </w:r>
      <w:r w:rsidR="00D224DB">
        <w:rPr>
          <w:szCs w:val="24"/>
        </w:rPr>
        <w:t>ai</w:t>
      </w:r>
      <w:r w:rsidRPr="00AD025E">
        <w:rPr>
          <w:szCs w:val="24"/>
        </w:rPr>
        <w:t>. Vyko intensyvus l</w:t>
      </w:r>
      <w:r>
        <w:rPr>
          <w:szCs w:val="24"/>
        </w:rPr>
        <w:t xml:space="preserve">eidybos ir publikacijos darbas, </w:t>
      </w:r>
      <w:r w:rsidRPr="00AD025E">
        <w:rPr>
          <w:szCs w:val="24"/>
        </w:rPr>
        <w:t>įvairi muzieja</w:t>
      </w:r>
      <w:r>
        <w:rPr>
          <w:szCs w:val="24"/>
        </w:rPr>
        <w:t>us specifiką atitinkanti veikla, renginiai</w:t>
      </w:r>
      <w:r w:rsidR="00D224DB">
        <w:rPr>
          <w:szCs w:val="24"/>
        </w:rPr>
        <w:t>,</w:t>
      </w:r>
      <w:r>
        <w:rPr>
          <w:szCs w:val="24"/>
        </w:rPr>
        <w:t xml:space="preserve"> skirti 250-osioms Mykolo Kleopo Oginskio gimimo metinėms. Įsigyt</w:t>
      </w:r>
      <w:r w:rsidR="00D224DB">
        <w:rPr>
          <w:szCs w:val="24"/>
        </w:rPr>
        <w:t>i</w:t>
      </w:r>
      <w:r>
        <w:rPr>
          <w:szCs w:val="24"/>
        </w:rPr>
        <w:t xml:space="preserve"> 154 eksponatai.</w:t>
      </w:r>
    </w:p>
    <w:p w:rsidR="00B640B7" w:rsidRDefault="00B640B7" w:rsidP="006D327D">
      <w:pPr>
        <w:ind w:firstLine="576"/>
        <w:jc w:val="left"/>
        <w:rPr>
          <w:szCs w:val="24"/>
        </w:rPr>
      </w:pPr>
      <w:r w:rsidRPr="00AD025E">
        <w:rPr>
          <w:szCs w:val="24"/>
        </w:rPr>
        <w:t>Rietavo Irenėjaus Oginskio viešojoje bi</w:t>
      </w:r>
      <w:r>
        <w:rPr>
          <w:szCs w:val="24"/>
        </w:rPr>
        <w:t>bliotekoje su filialais vyko 220</w:t>
      </w:r>
      <w:r w:rsidRPr="00AD025E">
        <w:rPr>
          <w:szCs w:val="24"/>
        </w:rPr>
        <w:t xml:space="preserve"> rengini</w:t>
      </w:r>
      <w:r w:rsidR="00D224DB">
        <w:rPr>
          <w:szCs w:val="24"/>
        </w:rPr>
        <w:t>ų</w:t>
      </w:r>
      <w:r>
        <w:rPr>
          <w:szCs w:val="24"/>
        </w:rPr>
        <w:t xml:space="preserve"> iš jų – 87 parod</w:t>
      </w:r>
      <w:r w:rsidR="00D224DB">
        <w:rPr>
          <w:szCs w:val="24"/>
        </w:rPr>
        <w:t>os</w:t>
      </w:r>
      <w:r>
        <w:rPr>
          <w:szCs w:val="24"/>
        </w:rPr>
        <w:t>. Fondų dydis – 67957 vnt. Apsilankė 26860</w:t>
      </w:r>
      <w:r w:rsidRPr="00AD025E">
        <w:rPr>
          <w:szCs w:val="24"/>
        </w:rPr>
        <w:t xml:space="preserve"> lanky</w:t>
      </w:r>
      <w:r w:rsidR="00D224DB">
        <w:rPr>
          <w:szCs w:val="24"/>
        </w:rPr>
        <w:t>tojų</w:t>
      </w:r>
      <w:r>
        <w:rPr>
          <w:szCs w:val="24"/>
        </w:rPr>
        <w:t xml:space="preserve">. Per metus įsigyta 3390 </w:t>
      </w:r>
      <w:r w:rsidRPr="00AD025E">
        <w:rPr>
          <w:szCs w:val="24"/>
        </w:rPr>
        <w:t>vnt. dokumentų. Rietavo savivaldybė</w:t>
      </w:r>
      <w:r>
        <w:rPr>
          <w:szCs w:val="24"/>
        </w:rPr>
        <w:t xml:space="preserve">s mokyklų bibliotekose yra 38210 </w:t>
      </w:r>
      <w:r w:rsidRPr="00AD025E">
        <w:rPr>
          <w:szCs w:val="24"/>
        </w:rPr>
        <w:t>dokumentų f</w:t>
      </w:r>
      <w:r>
        <w:rPr>
          <w:szCs w:val="24"/>
        </w:rPr>
        <w:t>ondas, per metus apsilankė 10505</w:t>
      </w:r>
      <w:r w:rsidRPr="00AD025E">
        <w:rPr>
          <w:szCs w:val="24"/>
        </w:rPr>
        <w:t xml:space="preserve"> lankytojai. Per me</w:t>
      </w:r>
      <w:r>
        <w:rPr>
          <w:szCs w:val="24"/>
        </w:rPr>
        <w:t>tus įstaigų fondas pasipildė 413</w:t>
      </w:r>
      <w:r w:rsidRPr="00AD025E">
        <w:rPr>
          <w:szCs w:val="24"/>
        </w:rPr>
        <w:t xml:space="preserve"> nauj</w:t>
      </w:r>
      <w:r w:rsidR="00D224DB">
        <w:rPr>
          <w:szCs w:val="24"/>
        </w:rPr>
        <w:t>ų</w:t>
      </w:r>
      <w:r w:rsidRPr="00AD025E">
        <w:rPr>
          <w:szCs w:val="24"/>
        </w:rPr>
        <w:t xml:space="preserve"> dokument</w:t>
      </w:r>
      <w:r w:rsidR="00D224DB">
        <w:rPr>
          <w:szCs w:val="24"/>
        </w:rPr>
        <w:t>ų</w:t>
      </w:r>
      <w:r w:rsidRPr="00AD025E">
        <w:rPr>
          <w:szCs w:val="24"/>
        </w:rPr>
        <w:t>.</w:t>
      </w:r>
    </w:p>
    <w:p w:rsidR="00B640B7" w:rsidRPr="00AD025E" w:rsidRDefault="00B640B7" w:rsidP="006D327D">
      <w:pPr>
        <w:ind w:firstLine="576"/>
        <w:jc w:val="left"/>
        <w:rPr>
          <w:szCs w:val="24"/>
        </w:rPr>
      </w:pPr>
      <w:r w:rsidRPr="00AD025E">
        <w:rPr>
          <w:szCs w:val="24"/>
        </w:rPr>
        <w:t xml:space="preserve">Šių įstaigų organizuojamus renginius koordinavo ir daugelyje jų dalyvavo Švietimo, kultūros ir sporto skyriaus vedėjas ir pavaduotojas kultūrai. </w:t>
      </w:r>
    </w:p>
    <w:p w:rsidR="00B640B7" w:rsidRDefault="00B640B7" w:rsidP="00E97ECA">
      <w:pPr>
        <w:tabs>
          <w:tab w:val="left" w:pos="1247"/>
        </w:tabs>
        <w:ind w:firstLine="0"/>
        <w:jc w:val="center"/>
        <w:rPr>
          <w:b/>
          <w:i/>
          <w:szCs w:val="24"/>
        </w:rPr>
      </w:pPr>
    </w:p>
    <w:p w:rsidR="00E97ECA" w:rsidRPr="00B640B7" w:rsidRDefault="00E97ECA" w:rsidP="00E97ECA">
      <w:pPr>
        <w:tabs>
          <w:tab w:val="left" w:pos="1247"/>
        </w:tabs>
        <w:ind w:firstLine="0"/>
        <w:jc w:val="center"/>
        <w:rPr>
          <w:b/>
          <w:szCs w:val="24"/>
        </w:rPr>
      </w:pPr>
      <w:r w:rsidRPr="00B640B7">
        <w:rPr>
          <w:b/>
          <w:szCs w:val="24"/>
        </w:rPr>
        <w:t>SPORTAS</w:t>
      </w:r>
    </w:p>
    <w:p w:rsidR="00E97ECA" w:rsidRPr="00630125" w:rsidRDefault="00E97ECA" w:rsidP="00E97ECA">
      <w:pPr>
        <w:ind w:right="567"/>
        <w:rPr>
          <w:i/>
        </w:rPr>
      </w:pPr>
    </w:p>
    <w:p w:rsidR="00B640B7" w:rsidRDefault="00E97ECA" w:rsidP="006D327D">
      <w:pPr>
        <w:ind w:right="-1" w:firstLine="0"/>
        <w:jc w:val="left"/>
      </w:pPr>
      <w:r w:rsidRPr="00630125">
        <w:rPr>
          <w:i/>
        </w:rPr>
        <w:t xml:space="preserve">        </w:t>
      </w:r>
      <w:r w:rsidR="00B640B7">
        <w:t xml:space="preserve">Rietavo savivaldybės administracijos Švietimo, kultūros ir sporto skyriaus vedėjas ir pavaduotojas sportui koordinuoja ir įgyvendina valstybinę, regionų ir </w:t>
      </w:r>
      <w:r w:rsidR="00D224DB">
        <w:t>S</w:t>
      </w:r>
      <w:r w:rsidR="00B640B7">
        <w:t>avivaldybės sporto  politiką Rietavo savivaldybėje.</w:t>
      </w:r>
    </w:p>
    <w:p w:rsidR="00B640B7" w:rsidRDefault="00B640B7" w:rsidP="006D327D">
      <w:pPr>
        <w:ind w:right="-1" w:firstLine="0"/>
        <w:jc w:val="left"/>
      </w:pPr>
      <w:r>
        <w:t xml:space="preserve">         2015 m. </w:t>
      </w:r>
      <w:r w:rsidRPr="0071235E">
        <w:t xml:space="preserve"> </w:t>
      </w:r>
      <w:r>
        <w:t>Rietavo savivaldybėje buvo numatyta apie 30 sportinių renginių</w:t>
      </w:r>
      <w:r w:rsidR="00D224DB">
        <w:t>, kuriems</w:t>
      </w:r>
      <w:r>
        <w:t xml:space="preserve"> Savivaldybės biudžete buvo skirta 9,184 tūkst. eurų. Didžiausią susidomėjimą kėlė krepšinio pirmenybės, kuriose dalyvavo 100 žaidėjų. Vasario mėnesį baigėsi 2014/2015 metų pirmenybės, kuriose dalyvavo 8 komandos. Lapkričio mėnesį prasidėjo 2015/2016 metų krepšinio turnyras Rietavo savivaldybės taurei laimėti, kuriame norą dalyvauti pareiškė 7 komandos.           </w:t>
      </w:r>
    </w:p>
    <w:p w:rsidR="00B640B7" w:rsidRPr="0071235E" w:rsidRDefault="00B640B7" w:rsidP="006D327D">
      <w:pPr>
        <w:ind w:right="-1" w:firstLine="0"/>
        <w:jc w:val="left"/>
      </w:pPr>
      <w:r>
        <w:t xml:space="preserve">           Kovo mėnesį prasidėjo ir gegužės mėnesį baigė</w:t>
      </w:r>
      <w:r w:rsidR="00D224DB">
        <w:t>si</w:t>
      </w:r>
      <w:r>
        <w:t xml:space="preserve"> tinklinio pirmenybės, kuriose dalyvavo 6 vyrų ir 4 moterų Rietavo savivaldybės komandos, iš viso </w:t>
      </w:r>
      <w:r w:rsidR="00D224DB">
        <w:t xml:space="preserve">– </w:t>
      </w:r>
      <w:r>
        <w:t>apie 70 sportininkų.</w:t>
      </w:r>
    </w:p>
    <w:p w:rsidR="00B640B7" w:rsidRDefault="00B640B7" w:rsidP="006D327D">
      <w:pPr>
        <w:ind w:right="-1" w:firstLine="0"/>
        <w:jc w:val="left"/>
      </w:pPr>
      <w:r>
        <w:t xml:space="preserve">           Moksleiviai užbaigė 2014/2015 mokslo metų Lietuvos mokyklų žaidynių varžybas. Rietavo Lauryno Ivinskio gimnazija dalyvavo zoninėse „Drąsūs, stiprūs, vikrūs“, krepšinio, stalo teniso varžybose. Bendroje Lietuvos mokyklų žaidynių įskaitoje iškovojo 15 vietą iš 117 mokyklų. Tverų gimnazija dalyvavo zoninėse „Drąsūs, stiprūs, vikrūs“, lengvosios atletikos, stalo teniso, svarsčio kilnojimo, šaškių, tinklinio, virvės traukimo varžybose. Tveriškiai Lietuvos mokyklų žaidyn</w:t>
      </w:r>
      <w:r w:rsidR="00D224DB">
        <w:t>ėse</w:t>
      </w:r>
      <w:r>
        <w:t xml:space="preserve"> tarp kaimo vietovių mokyklų iškovojo 3 vietą iš 94 mokyklų. Žadvainių pagrindinė mokykla atstovavo </w:t>
      </w:r>
      <w:r w:rsidR="00D224DB">
        <w:t>S</w:t>
      </w:r>
      <w:r>
        <w:t>avivaldyb</w:t>
      </w:r>
      <w:r w:rsidR="00D224DB">
        <w:t>ei</w:t>
      </w:r>
      <w:r>
        <w:t xml:space="preserve"> zoninėse mažojo futbolo varžybose. Pradinių klasių ir 5-6 klasių mokiniai dalyvavo „Drąsūs, stiprūs, vikrūs“ zoninėse varžybose. Rietavo mokiniai taip pat varžėsi, kas geresni tarp Savivaldybės mokyklų „Drąsūs, stiprūs, vikrūs“, krepšinio 3x3, lengvosios atletikos, virvės traukimo, štangos spaudimo, rankų lenkimo varžybos</w:t>
      </w:r>
      <w:r w:rsidR="00D224DB">
        <w:t>e</w:t>
      </w:r>
      <w:r>
        <w:t>. Mokiniai ir suaugusieji aktyviai dalyvavo sporto festivalyje „Sportas visiems“  Palangoje. Balandžio mėnesį dalyvauta Lietuvos Nacionaliniame rankų lenkimo čempionate. Birželio mėnesį mokiniai dalyvavo respublikiniame „Ežiogol</w:t>
      </w:r>
      <w:r w:rsidR="00D224DB">
        <w:t>o</w:t>
      </w:r>
      <w:r>
        <w:t>“ turnyre. Mokiniams buvo suorganizuotas prevencinis gatvės krepšinio 3x3 turnyras, kurį vykdė Rietavo PK.</w:t>
      </w:r>
    </w:p>
    <w:p w:rsidR="00B640B7" w:rsidRDefault="00B640B7" w:rsidP="006D327D">
      <w:pPr>
        <w:ind w:right="-1" w:firstLine="0"/>
        <w:jc w:val="left"/>
      </w:pPr>
      <w:r>
        <w:t xml:space="preserve">            2015/2016 mokslo metų pradžioje buvo organizuotos Rietavo savivaldybės mokyklų pradinių klasių ir 5-6 klasių kvadrato, mažojo futbolo varžybos. Mokiniai dalyvavo Lietuvos mokyklų žaidynių zoninėse mažojo futbolo </w:t>
      </w:r>
      <w:r w:rsidR="00D224DB">
        <w:t>(</w:t>
      </w:r>
      <w:r>
        <w:t xml:space="preserve">mergaitės </w:t>
      </w:r>
      <w:r w:rsidR="00D224DB">
        <w:t xml:space="preserve">– </w:t>
      </w:r>
      <w:r>
        <w:t xml:space="preserve">Klaipėdoje, berniukai </w:t>
      </w:r>
      <w:r w:rsidR="00D224DB">
        <w:t xml:space="preserve">– </w:t>
      </w:r>
      <w:r>
        <w:t>Telšiuose</w:t>
      </w:r>
      <w:r w:rsidR="00D224DB">
        <w:t>)</w:t>
      </w:r>
      <w:r>
        <w:t xml:space="preserve"> ir  pradinių ir 5-6 klasių kvadrato varžybose Šilalėje.            </w:t>
      </w:r>
    </w:p>
    <w:p w:rsidR="00B640B7" w:rsidRDefault="00D224DB" w:rsidP="006D327D">
      <w:pPr>
        <w:ind w:right="-1" w:firstLine="0"/>
        <w:jc w:val="left"/>
      </w:pPr>
      <w:r>
        <w:t xml:space="preserve">            </w:t>
      </w:r>
      <w:r w:rsidR="00B640B7">
        <w:t>Rietavo Lauryno Ivinskio gimnazijos stalo tenisininkai ir tinklininkai aktyviai dalyvavo Lietuvos jaunučių, jaunių ir jaunimo čempionato varžybose. Rietavo savivaldybės Žadvainių pagrindinės mokyklos ir Tverų gimnazijos mokiniai dalyvavo Lietuvos jaunimo rankų lenkimo čempionate.</w:t>
      </w:r>
    </w:p>
    <w:p w:rsidR="00B640B7" w:rsidRDefault="00D224DB" w:rsidP="006D327D">
      <w:pPr>
        <w:ind w:right="-1" w:firstLine="0"/>
        <w:jc w:val="left"/>
      </w:pPr>
      <w:r>
        <w:t xml:space="preserve">             </w:t>
      </w:r>
      <w:r w:rsidR="00B640B7">
        <w:t xml:space="preserve">Rietavo savivaldybės tinklininkai dalyvavo tinklinio turnyruose, kurie vyko Pagėgiuose, 2 kartus </w:t>
      </w:r>
      <w:r>
        <w:t xml:space="preserve">– </w:t>
      </w:r>
      <w:r w:rsidR="00B640B7">
        <w:t>Plungėje (</w:t>
      </w:r>
      <w:r>
        <w:t>„</w:t>
      </w:r>
      <w:r w:rsidR="00B640B7">
        <w:t>Euroliux</w:t>
      </w:r>
      <w:r>
        <w:t>“</w:t>
      </w:r>
      <w:r w:rsidR="00B640B7">
        <w:t xml:space="preserve"> ir seniūno taurei laimėti)</w:t>
      </w:r>
      <w:r>
        <w:t>,</w:t>
      </w:r>
      <w:r w:rsidR="00B640B7">
        <w:t xml:space="preserve"> Radviliškyje, Rietave, Gargžduose. Tinklininkai dalyvavo paplūdimio tinklinio turnyre Palangoje.</w:t>
      </w:r>
    </w:p>
    <w:p w:rsidR="00B640B7" w:rsidRPr="00D224DB" w:rsidRDefault="00D224DB" w:rsidP="006D327D">
      <w:pPr>
        <w:ind w:right="-1" w:firstLine="0"/>
        <w:jc w:val="left"/>
      </w:pPr>
      <w:r>
        <w:t xml:space="preserve">            </w:t>
      </w:r>
      <w:r w:rsidR="00B640B7" w:rsidRPr="00D224DB">
        <w:t xml:space="preserve">Dalyvauta draugijos „Žalgiris“ zoninėse tinklinio, futbolo ir krepšinio varžybose. </w:t>
      </w:r>
    </w:p>
    <w:p w:rsidR="00B640B7" w:rsidRPr="0071235E" w:rsidRDefault="00B640B7" w:rsidP="006D327D">
      <w:pPr>
        <w:ind w:right="-1" w:firstLine="0"/>
        <w:jc w:val="left"/>
      </w:pPr>
      <w:r>
        <w:t xml:space="preserve">2015 m. dviračių mėgėjams organizuotos varžybos D. Žiliūtės taurei laimėti. Prisidėta prie renginio, skirto  Vaikų gynimo dienai paminėti, organizuotos linksmosios estafetės vaikams. </w:t>
      </w:r>
    </w:p>
    <w:p w:rsidR="00B640B7" w:rsidRDefault="00B640B7" w:rsidP="006D327D">
      <w:pPr>
        <w:ind w:right="-1" w:firstLine="0"/>
        <w:jc w:val="left"/>
      </w:pPr>
      <w:r>
        <w:t xml:space="preserve">            2015 m. vasarą buvo prisidėta prie sporto švenčių Tveruose, </w:t>
      </w:r>
      <w:r w:rsidR="00D224DB">
        <w:t>Ž</w:t>
      </w:r>
      <w:r>
        <w:t xml:space="preserve">advainuose, Daugėduose – </w:t>
      </w:r>
      <w:r w:rsidRPr="0071235E">
        <w:t xml:space="preserve">žmonės rinkosi į vasaros sporto šventes, kuriose be tradicinių sporto šakų, </w:t>
      </w:r>
      <w:r>
        <w:t>buvo</w:t>
      </w:r>
      <w:r w:rsidRPr="0071235E">
        <w:t xml:space="preserve"> gausu originalių </w:t>
      </w:r>
      <w:r>
        <w:t xml:space="preserve">rungčių. </w:t>
      </w:r>
    </w:p>
    <w:p w:rsidR="00B640B7" w:rsidRPr="0071235E" w:rsidRDefault="00B640B7" w:rsidP="006D327D">
      <w:pPr>
        <w:ind w:right="-1" w:firstLine="0"/>
        <w:jc w:val="left"/>
      </w:pPr>
      <w:r>
        <w:t xml:space="preserve">             Vasaros pabaigoje Rietavo Lauryno Ivinskio gimnazijos stadione buvo organizuota sporto šventė „Palydint vasarą 2015“. Visus sportininkus džiugino vasaros atidarymo sporto šventė. Surengta jau tradicine tapusi šventė Mindaugo karūnavimo dienai paminėti, kurioje buvo organizuojami gatvės krepšinio 3x3 ir paplūdimio tinklinio 2x2 turnyrai. Organizuota vasaros sporto šventė naujai atidarytame sporto aikštyne Budrikiuose. Futbolo mėgėjams organizuotas vasaros mažojo futbolo turnyras. Rietavo savivaldybės stipruoliams pirmą kartą organizuotos „Crossfit“ sporto varžybos. Žvejams mėgėjams organizuotos varžybos Patverio tvenkinyje. Organizuotos Rietavo savivaldybės seniūnijų žaidynės, kuriuose kasmet dalyvauja vis daugiau </w:t>
      </w:r>
      <w:r>
        <w:lastRenderedPageBreak/>
        <w:t>sportininkų. Buvo suorganizuotas rankų lenkimo turnyras „Rietavas – 2015“. Visą vasarą Sauslaukyje esančioje sporto aikštelėje vyko lauko teniso turnyras, kuriame dalyvavo 16 vyrų ir 5 moterys. Vis</w:t>
      </w:r>
      <w:r w:rsidR="004F7BA8">
        <w:t>ą</w:t>
      </w:r>
      <w:r>
        <w:t xml:space="preserve"> vasar</w:t>
      </w:r>
      <w:r w:rsidR="004F7BA8">
        <w:t>ą</w:t>
      </w:r>
      <w:r>
        <w:t xml:space="preserve"> organizuoti bėgimai ir prisidėta prie akcijos „Už sveiką ir blaivią Lietuvą“. Organizuotos bėgimo varžybos, skirto</w:t>
      </w:r>
      <w:r w:rsidR="004F7BA8">
        <w:t>s</w:t>
      </w:r>
      <w:r>
        <w:t xml:space="preserve"> kūno kultūros ir sporto dienai paminėti. </w:t>
      </w:r>
    </w:p>
    <w:p w:rsidR="00B640B7" w:rsidRDefault="00B640B7" w:rsidP="006D327D">
      <w:pPr>
        <w:ind w:right="-1" w:firstLine="0"/>
        <w:jc w:val="left"/>
      </w:pPr>
      <w:r>
        <w:t xml:space="preserve">              Rietavo savivaldybės sportininkai dalyvavo 2015 m. zoninėse (Palangoje) Lietuvos seniūnijų sporto žaidynių varžybose. </w:t>
      </w:r>
    </w:p>
    <w:p w:rsidR="00B640B7" w:rsidRPr="0071235E" w:rsidRDefault="00B640B7" w:rsidP="006D327D">
      <w:pPr>
        <w:ind w:right="-1" w:firstLine="0"/>
        <w:jc w:val="left"/>
      </w:pPr>
      <w:r>
        <w:t xml:space="preserve">               Dalyvauta zoninėse draugijos „Žalgiris“ mažojo futbolo, tinklinio ir krepšinio varžybose. Rietavo savivaldybės krepšinio komanda Tverų „Vykintas“ sėkmingai dalyvavo Lietuvos mažųjų miestelių krepšinio lygoje.</w:t>
      </w:r>
    </w:p>
    <w:p w:rsidR="00B640B7" w:rsidRDefault="00B640B7" w:rsidP="006D327D">
      <w:pPr>
        <w:ind w:right="-1" w:firstLine="0"/>
        <w:jc w:val="left"/>
      </w:pPr>
      <w:r>
        <w:t xml:space="preserve">               </w:t>
      </w:r>
      <w:r w:rsidR="004F7BA8">
        <w:t>Vadovauj</w:t>
      </w:r>
      <w:r w:rsidRPr="0071235E">
        <w:t>antis sporto strategija</w:t>
      </w:r>
      <w:r>
        <w:t>,</w:t>
      </w:r>
      <w:r w:rsidRPr="0071235E">
        <w:t xml:space="preserve"> numatyta  sportinį darbą vykdyti </w:t>
      </w:r>
      <w:r>
        <w:t>per sporto klubų veiklą. Tam 2015</w:t>
      </w:r>
      <w:r w:rsidRPr="0071235E">
        <w:t xml:space="preserve"> m</w:t>
      </w:r>
      <w:r>
        <w:t>. biudžete skirta 4,924</w:t>
      </w:r>
      <w:r w:rsidRPr="0071235E">
        <w:t xml:space="preserve"> tūkst</w:t>
      </w:r>
      <w:r>
        <w:t>.</w:t>
      </w:r>
      <w:r w:rsidRPr="0071235E">
        <w:t xml:space="preserve"> </w:t>
      </w:r>
      <w:r>
        <w:t>eurų</w:t>
      </w:r>
      <w:r w:rsidRPr="0071235E">
        <w:t xml:space="preserve">. </w:t>
      </w:r>
      <w:r>
        <w:t xml:space="preserve">2015 m. įsiregistravo naujas krepšinio klubas „Rietavo liūtas“. </w:t>
      </w:r>
      <w:r w:rsidRPr="0071235E">
        <w:t>Rietavo savivaldybėje re</w:t>
      </w:r>
      <w:r>
        <w:t>gistruoti ir savo veiką vykdo 13</w:t>
      </w:r>
      <w:r w:rsidRPr="0071235E">
        <w:t xml:space="preserve"> sporto klubų: Tverų „Vykintas</w:t>
      </w:r>
      <w:r>
        <w:t>“</w:t>
      </w:r>
      <w:r w:rsidRPr="0071235E">
        <w:t xml:space="preserve">, Budrikių </w:t>
      </w:r>
      <w:r>
        <w:t>„</w:t>
      </w:r>
      <w:r w:rsidRPr="0071235E">
        <w:t>Smūgis</w:t>
      </w:r>
      <w:r>
        <w:t>“</w:t>
      </w:r>
      <w:r w:rsidRPr="0071235E">
        <w:t xml:space="preserve">, </w:t>
      </w:r>
      <w:r>
        <w:t>Krepšinio klubas „Rietavo liūtas“</w:t>
      </w:r>
      <w:r w:rsidRPr="0071235E">
        <w:t xml:space="preserve"> Liolių </w:t>
      </w:r>
      <w:r>
        <w:t>„</w:t>
      </w:r>
      <w:r w:rsidRPr="0071235E">
        <w:t>Lokiai“, „Daugėdai“, „Medingėnai“, Ri</w:t>
      </w:r>
      <w:r>
        <w:t>etavo sporto klubai „Viesulas“, „Greitukai“, „</w:t>
      </w:r>
      <w:r w:rsidRPr="0071235E">
        <w:t>Liūtas</w:t>
      </w:r>
      <w:r>
        <w:t>“</w:t>
      </w:r>
      <w:r w:rsidRPr="0071235E">
        <w:t>, S.</w:t>
      </w:r>
      <w:r>
        <w:t xml:space="preserve"> </w:t>
      </w:r>
      <w:r w:rsidRPr="0071235E">
        <w:t>Kažukausko sporto klubas,</w:t>
      </w:r>
      <w:r>
        <w:t xml:space="preserve"> Rietavo „Gaja“, </w:t>
      </w:r>
      <w:r w:rsidRPr="0071235E">
        <w:t xml:space="preserve">futbolo klubas </w:t>
      </w:r>
      <w:r>
        <w:t>„</w:t>
      </w:r>
      <w:r w:rsidRPr="0071235E">
        <w:t>Rietuva</w:t>
      </w:r>
      <w:r>
        <w:t>“</w:t>
      </w:r>
      <w:r w:rsidRPr="0071235E">
        <w:t xml:space="preserve"> ir neįgaliųjų</w:t>
      </w:r>
      <w:r>
        <w:t xml:space="preserve"> draugijos</w:t>
      </w:r>
      <w:r w:rsidRPr="0071235E">
        <w:t xml:space="preserve"> sporto klubas „Energija“. </w:t>
      </w:r>
      <w:r>
        <w:t>Sporto klubai 2015 m. surengė apie 20 sportinių renginių, kuriuose vidutiniškai dalyvavo apie 50 sportininkų. Aktyviausias buvo Tverų sporto klubas „Vykintas“, kuris surengė 10 įvairių sporto šakų rengini</w:t>
      </w:r>
      <w:r w:rsidR="004F7BA8">
        <w:t>ų</w:t>
      </w:r>
      <w:r>
        <w:t>.</w:t>
      </w:r>
    </w:p>
    <w:p w:rsidR="00B640B7" w:rsidRDefault="00B640B7" w:rsidP="006D327D">
      <w:pPr>
        <w:ind w:right="-1" w:firstLine="0"/>
        <w:jc w:val="left"/>
      </w:pPr>
      <w:r>
        <w:t xml:space="preserve">               2015 metais buvo renovuotas sporto aikštynas Žadvainuose. </w:t>
      </w:r>
    </w:p>
    <w:p w:rsidR="00B640B7" w:rsidRDefault="00B640B7" w:rsidP="006D327D">
      <w:pPr>
        <w:ind w:right="-1" w:firstLine="0"/>
        <w:jc w:val="left"/>
      </w:pPr>
      <w:r>
        <w:t xml:space="preserve">               Sporto taryba 2015 m. rinkosi 1 kartą. 2015 m. vyko 2 skyriaus vedėjo ir pavaduotojo sportui organizuoti pasitarimai kūno kultūros mokytojams ir sporto klubų vadovams, buvo aptartos sporto problemos.</w:t>
      </w:r>
    </w:p>
    <w:p w:rsidR="00B640B7" w:rsidRDefault="00B640B7" w:rsidP="006D327D">
      <w:pPr>
        <w:ind w:right="-1" w:firstLine="0"/>
        <w:jc w:val="left"/>
      </w:pPr>
      <w:r>
        <w:t xml:space="preserve">               Švietimo, kultūros ir sporto skyrius ataskaitas teikė Rietavo savivaldybės administracijos direktoriui, Lietuvos kūno kultūros departamentui prie Lietuvos Respublikos Vyriausybės.</w:t>
      </w:r>
    </w:p>
    <w:p w:rsidR="00B640B7" w:rsidRDefault="00B640B7" w:rsidP="006D327D">
      <w:pPr>
        <w:ind w:right="-1" w:firstLine="0"/>
        <w:jc w:val="left"/>
      </w:pPr>
    </w:p>
    <w:p w:rsidR="00E97ECA" w:rsidRPr="00630125" w:rsidRDefault="00E97ECA" w:rsidP="00B640B7">
      <w:pPr>
        <w:ind w:right="-1" w:firstLine="0"/>
        <w:rPr>
          <w:i/>
        </w:rPr>
      </w:pPr>
    </w:p>
    <w:p w:rsidR="00E97ECA" w:rsidRPr="00B640B7" w:rsidRDefault="00E97ECA" w:rsidP="00E97ECA">
      <w:pPr>
        <w:ind w:firstLine="0"/>
        <w:jc w:val="center"/>
        <w:rPr>
          <w:b/>
          <w:caps/>
        </w:rPr>
      </w:pPr>
      <w:r w:rsidRPr="00B640B7">
        <w:rPr>
          <w:b/>
          <w:caps/>
        </w:rPr>
        <w:t>jaunimo veikla</w:t>
      </w:r>
    </w:p>
    <w:p w:rsidR="00E97ECA" w:rsidRPr="00630125" w:rsidRDefault="00E97ECA" w:rsidP="00E97ECA">
      <w:pPr>
        <w:ind w:firstLine="1296"/>
        <w:rPr>
          <w:i/>
        </w:rPr>
      </w:pPr>
    </w:p>
    <w:p w:rsidR="00B640B7" w:rsidRPr="00326A31" w:rsidRDefault="00B640B7" w:rsidP="00B640B7">
      <w:pPr>
        <w:pStyle w:val="bodytext0"/>
        <w:keepNext/>
        <w:widowControl w:val="0"/>
        <w:spacing w:before="0" w:beforeAutospacing="0" w:after="0" w:afterAutospacing="0"/>
        <w:ind w:firstLine="426"/>
        <w:jc w:val="both"/>
        <w:rPr>
          <w:lang w:val="lt-LT"/>
        </w:rPr>
      </w:pPr>
      <w:r w:rsidRPr="008E4701">
        <w:rPr>
          <w:lang w:val="lt-LT" w:eastAsia="ar-SA"/>
        </w:rPr>
        <w:t xml:space="preserve">Rietavo savivaldybės jaunimo politika įgyvendinama vadovaujantis Lietuvos Respublikos jaunimo politikos pagrindų įstatymu, pagal kurį šią funkciją Savivaldybėje </w:t>
      </w:r>
      <w:r w:rsidR="004F7BA8">
        <w:rPr>
          <w:lang w:val="lt-LT" w:eastAsia="ar-SA"/>
        </w:rPr>
        <w:t>vykdyt</w:t>
      </w:r>
      <w:r w:rsidRPr="008E4701">
        <w:rPr>
          <w:lang w:val="lt-LT" w:eastAsia="ar-SA"/>
        </w:rPr>
        <w:t xml:space="preserve">i pavesta jaunimo teisių apsaugos specialistui - </w:t>
      </w:r>
      <w:r>
        <w:rPr>
          <w:lang w:val="lt-LT"/>
        </w:rPr>
        <w:t>jaunimo reikalų koordinatoriui.</w:t>
      </w:r>
      <w:r w:rsidRPr="00D302D8">
        <w:rPr>
          <w:lang w:val="lt-LT"/>
        </w:rPr>
        <w:t xml:space="preserve"> </w:t>
      </w:r>
      <w:r>
        <w:rPr>
          <w:lang w:val="lt-LT"/>
        </w:rPr>
        <w:t xml:space="preserve">Jo pareigybė susijusi su </w:t>
      </w:r>
      <w:r w:rsidRPr="00326A31">
        <w:rPr>
          <w:lang w:val="lt-LT"/>
        </w:rPr>
        <w:t>valstybės perduo</w:t>
      </w:r>
      <w:r>
        <w:rPr>
          <w:lang w:val="lt-LT"/>
        </w:rPr>
        <w:t>tos S</w:t>
      </w:r>
      <w:r w:rsidRPr="00326A31">
        <w:rPr>
          <w:lang w:val="lt-LT"/>
        </w:rPr>
        <w:t>avivaldybei</w:t>
      </w:r>
      <w:r>
        <w:rPr>
          <w:lang w:val="lt-LT"/>
        </w:rPr>
        <w:t xml:space="preserve"> funkcijos</w:t>
      </w:r>
      <w:r w:rsidRPr="00326A31">
        <w:rPr>
          <w:lang w:val="lt-LT"/>
        </w:rPr>
        <w:t xml:space="preserve"> „Jaunimo teisių a</w:t>
      </w:r>
      <w:r>
        <w:rPr>
          <w:lang w:val="lt-LT"/>
        </w:rPr>
        <w:t>psauga“ įgyvendinimu.</w:t>
      </w:r>
    </w:p>
    <w:p w:rsidR="00B640B7" w:rsidRDefault="00B640B7" w:rsidP="00B640B7">
      <w:pPr>
        <w:ind w:firstLine="426"/>
      </w:pPr>
      <w:r>
        <w:t xml:space="preserve"> 2015</w:t>
      </w:r>
      <w:r w:rsidRPr="007A5D45">
        <w:t xml:space="preserve"> metais</w:t>
      </w:r>
      <w:r>
        <w:t xml:space="preserve"> jaunimo politikos įgyvendinimo veikla S</w:t>
      </w:r>
      <w:r w:rsidRPr="007A5D45">
        <w:t xml:space="preserve">avivaldybėje </w:t>
      </w:r>
      <w:r>
        <w:t>koordinuota pagal šias pagrindines krypti</w:t>
      </w:r>
      <w:r w:rsidRPr="00FE56AC">
        <w:t>s:</w:t>
      </w:r>
    </w:p>
    <w:p w:rsidR="00B640B7" w:rsidRDefault="00B640B7" w:rsidP="00B640B7">
      <w:pPr>
        <w:ind w:firstLine="426"/>
        <w:rPr>
          <w:b/>
        </w:rPr>
      </w:pPr>
    </w:p>
    <w:p w:rsidR="00B640B7" w:rsidRDefault="00B640B7" w:rsidP="009710AF">
      <w:pPr>
        <w:ind w:firstLine="0"/>
        <w:jc w:val="center"/>
        <w:rPr>
          <w:b/>
        </w:rPr>
      </w:pPr>
      <w:r w:rsidRPr="001B5465">
        <w:rPr>
          <w:b/>
        </w:rPr>
        <w:t>Teikti Savivaldy</w:t>
      </w:r>
      <w:r>
        <w:rPr>
          <w:b/>
        </w:rPr>
        <w:t>bės jaunimui informaciją jaunimui rūpimais</w:t>
      </w:r>
      <w:r w:rsidRPr="001B5465">
        <w:rPr>
          <w:b/>
        </w:rPr>
        <w:t xml:space="preserve"> klausimais</w:t>
      </w:r>
    </w:p>
    <w:p w:rsidR="00B640B7" w:rsidRDefault="00B640B7" w:rsidP="006D327D">
      <w:pPr>
        <w:ind w:firstLine="426"/>
        <w:jc w:val="left"/>
        <w:rPr>
          <w:lang w:eastAsia="ar-SA"/>
        </w:rPr>
      </w:pPr>
      <w:r w:rsidRPr="004B60C8">
        <w:rPr>
          <w:lang w:eastAsia="ar-SA"/>
        </w:rPr>
        <w:t>Jaunimo organizacijoms ir neformalioms jaunimo grupėms nuolat teikiama informacija apie jaunimo renginius, jauni</w:t>
      </w:r>
      <w:r>
        <w:rPr>
          <w:lang w:eastAsia="ar-SA"/>
        </w:rPr>
        <w:t>mo</w:t>
      </w:r>
      <w:r w:rsidRPr="004B60C8">
        <w:rPr>
          <w:lang w:eastAsia="ar-SA"/>
        </w:rPr>
        <w:t xml:space="preserve"> politikos įgyvendinimo klausimus, apie skelbiamus konkursus. Įgyvendinant atviro jaunimo centro veiklas</w:t>
      </w:r>
      <w:r>
        <w:rPr>
          <w:lang w:eastAsia="ar-SA"/>
        </w:rPr>
        <w:t>,</w:t>
      </w:r>
      <w:r w:rsidRPr="004B60C8">
        <w:rPr>
          <w:lang w:eastAsia="ar-SA"/>
        </w:rPr>
        <w:t xml:space="preserve"> buvo organizuoti informaciniai-pristatomieji renginiai, vyko asmeninės ir grupių konsultacijos, seminarai, sveikos gyvensenos, sportiniai užsiėmimai, įvairūs turnyrai, filmų vakarai žygiai ir kt. veiklos.</w:t>
      </w:r>
    </w:p>
    <w:p w:rsidR="00B640B7" w:rsidRDefault="00B640B7" w:rsidP="00B640B7">
      <w:pPr>
        <w:ind w:firstLine="426"/>
      </w:pPr>
    </w:p>
    <w:p w:rsidR="00B640B7" w:rsidRDefault="00B640B7" w:rsidP="009710AF">
      <w:pPr>
        <w:widowControl w:val="0"/>
        <w:ind w:firstLine="0"/>
        <w:jc w:val="center"/>
        <w:rPr>
          <w:b/>
        </w:rPr>
      </w:pPr>
      <w:r w:rsidRPr="006B26F6">
        <w:rPr>
          <w:b/>
        </w:rPr>
        <w:t xml:space="preserve">Jaunimui </w:t>
      </w:r>
      <w:r>
        <w:rPr>
          <w:b/>
        </w:rPr>
        <w:t xml:space="preserve">ir jaunimo darbuotojams </w:t>
      </w:r>
      <w:r w:rsidRPr="006B26F6">
        <w:rPr>
          <w:b/>
        </w:rPr>
        <w:t>skirti seminarai, konferencijos, moky</w:t>
      </w:r>
      <w:r>
        <w:rPr>
          <w:b/>
        </w:rPr>
        <w:t>mai</w:t>
      </w:r>
    </w:p>
    <w:p w:rsidR="00B640B7" w:rsidRDefault="00B640B7" w:rsidP="006D327D">
      <w:pPr>
        <w:widowControl w:val="0"/>
        <w:ind w:firstLine="426"/>
        <w:jc w:val="left"/>
      </w:pPr>
      <w:r w:rsidRPr="006F2A0D">
        <w:rPr>
          <w:lang w:val="pt-BR"/>
        </w:rPr>
        <w:t>Veikla Nacionalin</w:t>
      </w:r>
      <w:r>
        <w:t>ės</w:t>
      </w:r>
      <w:r w:rsidRPr="006F2A0D">
        <w:rPr>
          <w:lang w:val="pt-BR"/>
        </w:rPr>
        <w:t xml:space="preserve"> </w:t>
      </w:r>
      <w:r>
        <w:t>jaunimo reikalų koordinatorių asociacijos valdyboje.</w:t>
      </w:r>
    </w:p>
    <w:p w:rsidR="00B640B7" w:rsidRDefault="00B640B7" w:rsidP="006D327D">
      <w:pPr>
        <w:ind w:firstLine="426"/>
        <w:jc w:val="left"/>
      </w:pPr>
      <w:r>
        <w:t>Užtikrintas Lietuvos mokinių parlamento nario dalyvavimas darbo sesijose.</w:t>
      </w:r>
    </w:p>
    <w:p w:rsidR="00B640B7" w:rsidRDefault="00B640B7" w:rsidP="006D327D">
      <w:pPr>
        <w:widowControl w:val="0"/>
        <w:ind w:firstLine="426"/>
        <w:jc w:val="left"/>
      </w:pPr>
      <w:r>
        <w:t xml:space="preserve">2 jaunimo centro darbuotojai dalyvavo tarptautiniuose </w:t>
      </w:r>
      <w:r>
        <w:rPr>
          <w:lang w:val="en-US"/>
        </w:rPr>
        <w:t>5</w:t>
      </w:r>
      <w:r w:rsidRPr="007A27EA">
        <w:t xml:space="preserve"> d</w:t>
      </w:r>
      <w:r>
        <w:t>ienų</w:t>
      </w:r>
      <w:r w:rsidRPr="007A27EA">
        <w:t xml:space="preserve"> </w:t>
      </w:r>
      <w:r>
        <w:t>mokymuose Vengrijoje.</w:t>
      </w:r>
    </w:p>
    <w:p w:rsidR="00B640B7" w:rsidRPr="00B82513" w:rsidRDefault="00B640B7" w:rsidP="006D327D">
      <w:pPr>
        <w:widowControl w:val="0"/>
        <w:ind w:firstLine="426"/>
        <w:jc w:val="left"/>
        <w:rPr>
          <w:lang w:val="en-US"/>
        </w:rPr>
      </w:pPr>
      <w:r>
        <w:t xml:space="preserve">2 jaunimo centro savanoriai dalyvavo tarptautiniuose </w:t>
      </w:r>
      <w:r>
        <w:rPr>
          <w:lang w:val="en-US"/>
        </w:rPr>
        <w:t>4 dien</w:t>
      </w:r>
      <w:r>
        <w:t>ų</w:t>
      </w:r>
      <w:r>
        <w:rPr>
          <w:lang w:val="en-US"/>
        </w:rPr>
        <w:t xml:space="preserve"> mokymuose Lenkijoje.</w:t>
      </w:r>
    </w:p>
    <w:p w:rsidR="00B640B7" w:rsidRDefault="00B640B7" w:rsidP="00B640B7">
      <w:pPr>
        <w:widowControl w:val="0"/>
        <w:ind w:firstLine="426"/>
      </w:pPr>
    </w:p>
    <w:p w:rsidR="00B640B7" w:rsidRDefault="00B640B7" w:rsidP="009710AF">
      <w:pPr>
        <w:ind w:firstLine="0"/>
        <w:jc w:val="center"/>
        <w:rPr>
          <w:b/>
        </w:rPr>
      </w:pPr>
      <w:r>
        <w:rPr>
          <w:b/>
        </w:rPr>
        <w:t>Jaunimo politikos plėtra Rietavo savivaldybėje</w:t>
      </w:r>
    </w:p>
    <w:p w:rsidR="00B640B7" w:rsidRDefault="00B640B7" w:rsidP="006D327D">
      <w:pPr>
        <w:ind w:firstLine="426"/>
        <w:jc w:val="left"/>
      </w:pPr>
      <w:r>
        <w:t xml:space="preserve">Organizuotas </w:t>
      </w:r>
      <w:r>
        <w:rPr>
          <w:lang w:val="en-US"/>
        </w:rPr>
        <w:t>1</w:t>
      </w:r>
      <w:r w:rsidRPr="00AA584D">
        <w:t xml:space="preserve"> </w:t>
      </w:r>
      <w:r>
        <w:t>Rietavo savivaldybės jaunimo reikalų tarybos posėdis.</w:t>
      </w:r>
    </w:p>
    <w:p w:rsidR="00B640B7" w:rsidRDefault="00B640B7" w:rsidP="006D327D">
      <w:pPr>
        <w:tabs>
          <w:tab w:val="left" w:pos="6405"/>
        </w:tabs>
        <w:ind w:firstLine="0"/>
        <w:jc w:val="left"/>
        <w:rPr>
          <w:lang w:eastAsia="ar-SA"/>
        </w:rPr>
      </w:pPr>
      <w:r w:rsidRPr="004B60C8">
        <w:rPr>
          <w:lang w:eastAsia="ar-SA"/>
        </w:rPr>
        <w:t xml:space="preserve">Įgyvendintas Rietavo savivaldybės jaunimo iniciatyvų ir laisvalaikio užimtumo plėtojimo projektų finansavimo konkursas. </w:t>
      </w:r>
    </w:p>
    <w:p w:rsidR="00B640B7" w:rsidRPr="004B60C8" w:rsidRDefault="004F7BA8" w:rsidP="006D327D">
      <w:pPr>
        <w:tabs>
          <w:tab w:val="left" w:pos="6405"/>
        </w:tabs>
        <w:ind w:firstLine="0"/>
        <w:jc w:val="left"/>
        <w:rPr>
          <w:lang w:eastAsia="ar-SA"/>
        </w:rPr>
      </w:pPr>
      <w:r>
        <w:rPr>
          <w:lang w:eastAsia="ar-SA"/>
        </w:rPr>
        <w:lastRenderedPageBreak/>
        <w:t xml:space="preserve">       </w:t>
      </w:r>
      <w:r w:rsidR="00B640B7" w:rsidRPr="004B60C8">
        <w:rPr>
          <w:lang w:eastAsia="ar-SA"/>
        </w:rPr>
        <w:t>Par</w:t>
      </w:r>
      <w:r>
        <w:rPr>
          <w:lang w:eastAsia="ar-SA"/>
        </w:rPr>
        <w:t>engta</w:t>
      </w:r>
      <w:r w:rsidR="00B640B7" w:rsidRPr="004B60C8">
        <w:rPr>
          <w:lang w:eastAsia="ar-SA"/>
        </w:rPr>
        <w:t xml:space="preserve"> platforma įgyvendinti Jaunimo garantijų </w:t>
      </w:r>
      <w:r w:rsidR="00B640B7">
        <w:rPr>
          <w:lang w:eastAsia="ar-SA"/>
        </w:rPr>
        <w:t>iniciatyvas per projektą „Atrask save“</w:t>
      </w:r>
      <w:r w:rsidR="00B640B7">
        <w:t xml:space="preserve">, kurį įgyvendina Lietuvos darbo birža, bendradarbiaudama su Jaunimo reikalų departamentu prie Socialinės apsaugos ir darbo ministerijos. </w:t>
      </w:r>
    </w:p>
    <w:p w:rsidR="00B640B7" w:rsidRDefault="00B640B7" w:rsidP="006D327D">
      <w:pPr>
        <w:ind w:firstLine="426"/>
        <w:jc w:val="left"/>
        <w:rPr>
          <w:lang w:eastAsia="ar-SA"/>
        </w:rPr>
      </w:pPr>
      <w:r>
        <w:rPr>
          <w:lang w:eastAsia="ar-SA"/>
        </w:rPr>
        <w:t xml:space="preserve"> </w:t>
      </w:r>
      <w:r w:rsidRPr="004B60C8">
        <w:rPr>
          <w:lang w:eastAsia="ar-SA"/>
        </w:rPr>
        <w:t>Savivaldybės mokyklose veikė mokinių savivaldos organai.</w:t>
      </w:r>
    </w:p>
    <w:p w:rsidR="00B640B7" w:rsidRPr="00095C41" w:rsidRDefault="00B640B7" w:rsidP="00B640B7">
      <w:pPr>
        <w:ind w:firstLine="426"/>
        <w:rPr>
          <w:i/>
          <w:lang w:val="pt-BR"/>
        </w:rPr>
      </w:pPr>
    </w:p>
    <w:p w:rsidR="00B640B7" w:rsidRDefault="00B640B7" w:rsidP="009710AF">
      <w:pPr>
        <w:ind w:firstLine="426"/>
        <w:jc w:val="center"/>
        <w:rPr>
          <w:b/>
        </w:rPr>
      </w:pPr>
      <w:r>
        <w:rPr>
          <w:b/>
        </w:rPr>
        <w:t>B</w:t>
      </w:r>
      <w:r w:rsidRPr="006B26F6">
        <w:rPr>
          <w:b/>
        </w:rPr>
        <w:t xml:space="preserve">endri renginiai su kitų </w:t>
      </w:r>
      <w:r>
        <w:rPr>
          <w:b/>
        </w:rPr>
        <w:t xml:space="preserve">Lietuvos </w:t>
      </w:r>
      <w:r w:rsidRPr="006B26F6">
        <w:rPr>
          <w:b/>
        </w:rPr>
        <w:t>savivald</w:t>
      </w:r>
      <w:r>
        <w:rPr>
          <w:b/>
        </w:rPr>
        <w:t>ybių organizacijomis, akademijos.</w:t>
      </w:r>
    </w:p>
    <w:p w:rsidR="00B640B7" w:rsidRDefault="00B640B7" w:rsidP="006D327D">
      <w:pPr>
        <w:ind w:firstLine="426"/>
        <w:jc w:val="left"/>
      </w:pPr>
      <w:r w:rsidRPr="008E4701">
        <w:t xml:space="preserve">15 </w:t>
      </w:r>
      <w:r>
        <w:t xml:space="preserve">Rietavo savivaldybės jaunuolių rugpjūčio mėnesį dalyvavo „Jaunimo vasaros akademijoje </w:t>
      </w:r>
      <w:r w:rsidRPr="008E4701">
        <w:t>2015“, kuri vyko Skuodo rajone.</w:t>
      </w:r>
    </w:p>
    <w:p w:rsidR="00B640B7" w:rsidRDefault="00B640B7" w:rsidP="006D327D">
      <w:pPr>
        <w:ind w:firstLine="426"/>
        <w:jc w:val="left"/>
      </w:pPr>
      <w:r>
        <w:t>Atviras jaunimo centras 2015 m. turėjo bendr</w:t>
      </w:r>
      <w:r w:rsidR="004F7BA8">
        <w:t>ų</w:t>
      </w:r>
      <w:r>
        <w:t xml:space="preserve"> rengini</w:t>
      </w:r>
      <w:r w:rsidR="004F7BA8">
        <w:t>ų</w:t>
      </w:r>
      <w:r>
        <w:t xml:space="preserve"> su Neringos, Jurbarko, Plungės, Kuršėnų, Klaipėdos jaunimo centrais</w:t>
      </w:r>
      <w:r w:rsidR="004F7BA8">
        <w:t>.</w:t>
      </w:r>
      <w:r>
        <w:t xml:space="preserve"> </w:t>
      </w:r>
    </w:p>
    <w:p w:rsidR="00B640B7" w:rsidRDefault="00B640B7" w:rsidP="006D327D">
      <w:pPr>
        <w:ind w:firstLine="426"/>
        <w:jc w:val="left"/>
      </w:pPr>
      <w:r>
        <w:t>Įvyko 2 pristatomieji informaciniai renginiai (apie savanorystę, sveiką gyvenseną) Rietavo Lauryno Ivinskio gimnazijoje (80 dalyvių).</w:t>
      </w:r>
    </w:p>
    <w:p w:rsidR="00B640B7" w:rsidRDefault="00B640B7" w:rsidP="00B640B7">
      <w:pPr>
        <w:ind w:firstLine="426"/>
      </w:pPr>
    </w:p>
    <w:p w:rsidR="00B640B7" w:rsidRDefault="00B640B7" w:rsidP="009710AF">
      <w:pPr>
        <w:ind w:firstLine="0"/>
        <w:jc w:val="center"/>
        <w:rPr>
          <w:b/>
        </w:rPr>
      </w:pPr>
      <w:r w:rsidRPr="00B53125">
        <w:rPr>
          <w:b/>
        </w:rPr>
        <w:t>Jaunimo organizacijų ir neformalių jaunimo grupių dalyvavimas projektinėje veikloje</w:t>
      </w:r>
    </w:p>
    <w:p w:rsidR="00B640B7" w:rsidRDefault="00B640B7" w:rsidP="006D327D">
      <w:pPr>
        <w:tabs>
          <w:tab w:val="left" w:pos="6405"/>
        </w:tabs>
        <w:jc w:val="left"/>
        <w:rPr>
          <w:lang w:eastAsia="ar-SA"/>
        </w:rPr>
      </w:pPr>
      <w:r w:rsidRPr="004B60C8">
        <w:rPr>
          <w:lang w:eastAsia="ar-SA"/>
        </w:rPr>
        <w:t xml:space="preserve">Aktyviai veikė jaunieji šauliai, nuosekliai įgyvendino savo veiklas skautų draugija. </w:t>
      </w:r>
    </w:p>
    <w:p w:rsidR="00B640B7" w:rsidRPr="004B60C8" w:rsidRDefault="00B640B7" w:rsidP="006D327D">
      <w:pPr>
        <w:tabs>
          <w:tab w:val="left" w:pos="6405"/>
        </w:tabs>
        <w:jc w:val="left"/>
        <w:rPr>
          <w:lang w:eastAsia="ar-SA"/>
        </w:rPr>
      </w:pPr>
      <w:r w:rsidRPr="004B60C8">
        <w:rPr>
          <w:lang w:eastAsia="ar-SA"/>
        </w:rPr>
        <w:t>Rietavo savivaldybės jaunimo organizacija „Progresas“ kartu su Rietavo atviro jaunimo centro savanoriais 2015 metais nuo balandžio 1 d. iki rugpjūčio 14 d.  įgyvendino V</w:t>
      </w:r>
      <w:r>
        <w:rPr>
          <w:lang w:eastAsia="ar-SA"/>
        </w:rPr>
        <w:t>VG „Rietavo iniciatyvos“ teiktą</w:t>
      </w:r>
      <w:r w:rsidRPr="004B60C8">
        <w:rPr>
          <w:lang w:eastAsia="ar-SA"/>
        </w:rPr>
        <w:t xml:space="preserve">  projektą „Gerovė – per kompetencijas ir įgūdžius”, kurioje dalyvavo jaunimas ir iš 6 kaimo bendruomenių“ </w:t>
      </w:r>
      <w:r w:rsidR="004F7BA8">
        <w:rPr>
          <w:lang w:eastAsia="ar-SA"/>
        </w:rPr>
        <w:t xml:space="preserve">– </w:t>
      </w:r>
      <w:r w:rsidRPr="004B60C8">
        <w:rPr>
          <w:lang w:eastAsia="ar-SA"/>
        </w:rPr>
        <w:t>Žadvainių, Pelaičių, Girėnų, Tverų, Medingėnų ir Daugėdų. Projekto veiklos buvo organizuotos atviro mobilaus darbo su jaunimu principu. Projekto metu buvo užimti 162 vaikai ir jaunuoliai ir 34  savanoriai, į veiklas įtraukti 17 NEET’sų</w:t>
      </w:r>
      <w:r>
        <w:rPr>
          <w:lang w:eastAsia="ar-SA"/>
        </w:rPr>
        <w:t xml:space="preserve"> (niekur nedirbantys, nesimokantys ir mokymuose nedalyvaujantys jaunuoliai iki 29 metų)</w:t>
      </w:r>
      <w:r w:rsidRPr="004B60C8">
        <w:rPr>
          <w:lang w:eastAsia="ar-SA"/>
        </w:rPr>
        <w:t xml:space="preserve">. Per 4,5 mėnesio mobilaus atviro darbo su kaimo bendruomenių jaunimu ir vaikais iš viso įvyko  49 susitikimai (193 valandos), buvo sudarytos sąlygos projekto tęstinumui: </w:t>
      </w:r>
    </w:p>
    <w:p w:rsidR="00B640B7" w:rsidRPr="004B60C8" w:rsidRDefault="00B640B7" w:rsidP="006D327D">
      <w:pPr>
        <w:pStyle w:val="Sraopastraipa"/>
        <w:numPr>
          <w:ilvl w:val="0"/>
          <w:numId w:val="5"/>
        </w:numPr>
        <w:tabs>
          <w:tab w:val="left" w:pos="6405"/>
        </w:tabs>
        <w:jc w:val="left"/>
        <w:rPr>
          <w:lang w:eastAsia="ar-SA"/>
        </w:rPr>
      </w:pPr>
      <w:r w:rsidRPr="004B60C8">
        <w:rPr>
          <w:lang w:eastAsia="ar-SA"/>
        </w:rPr>
        <w:t>užmegzti kontakta</w:t>
      </w:r>
      <w:r w:rsidR="004F7BA8">
        <w:rPr>
          <w:lang w:eastAsia="ar-SA"/>
        </w:rPr>
        <w:t>i</w:t>
      </w:r>
      <w:r w:rsidRPr="004B60C8">
        <w:rPr>
          <w:lang w:eastAsia="ar-SA"/>
        </w:rPr>
        <w:t xml:space="preserve"> su kaimo bendruomenių jaunimu ir veiklų žinomumas; </w:t>
      </w:r>
    </w:p>
    <w:p w:rsidR="00B640B7" w:rsidRPr="004B60C8" w:rsidRDefault="00B640B7" w:rsidP="006D327D">
      <w:pPr>
        <w:pStyle w:val="Sraopastraipa"/>
        <w:numPr>
          <w:ilvl w:val="0"/>
          <w:numId w:val="5"/>
        </w:numPr>
        <w:tabs>
          <w:tab w:val="left" w:pos="6405"/>
        </w:tabs>
        <w:jc w:val="left"/>
        <w:rPr>
          <w:lang w:eastAsia="ar-SA"/>
        </w:rPr>
      </w:pPr>
      <w:r w:rsidRPr="004B60C8">
        <w:rPr>
          <w:lang w:eastAsia="ar-SA"/>
        </w:rPr>
        <w:t xml:space="preserve">parengti savanoriai atviram darbui su jaunimu ir jų noras tęsti veiklas; </w:t>
      </w:r>
    </w:p>
    <w:p w:rsidR="00B640B7" w:rsidRDefault="00B640B7" w:rsidP="006D327D">
      <w:pPr>
        <w:pStyle w:val="Sraopastraipa"/>
        <w:numPr>
          <w:ilvl w:val="0"/>
          <w:numId w:val="5"/>
        </w:numPr>
        <w:tabs>
          <w:tab w:val="left" w:pos="6405"/>
        </w:tabs>
        <w:jc w:val="left"/>
        <w:rPr>
          <w:lang w:eastAsia="ar-SA"/>
        </w:rPr>
      </w:pPr>
      <w:r w:rsidRPr="004B60C8">
        <w:rPr>
          <w:lang w:eastAsia="ar-SA"/>
        </w:rPr>
        <w:t>sukurta materialinė bazė veikloms vykdyti, mokytis ir lavinti įgūdžius.</w:t>
      </w:r>
    </w:p>
    <w:p w:rsidR="00B640B7" w:rsidRDefault="00B640B7" w:rsidP="006D327D">
      <w:pPr>
        <w:ind w:firstLine="426"/>
        <w:jc w:val="left"/>
      </w:pPr>
      <w:r w:rsidRPr="00D302D8">
        <w:t>3</w:t>
      </w:r>
      <w:r>
        <w:rPr>
          <w:lang w:val="pt-BR"/>
        </w:rPr>
        <w:t xml:space="preserve"> jaunimo ir su jaunimu dirbančios organizacijos </w:t>
      </w:r>
      <w:r>
        <w:t>įgyvendino projektus pagal Rietavo savivaldybės jaunimo ir laisvalaikio plėtojimo konkursą.</w:t>
      </w:r>
    </w:p>
    <w:p w:rsidR="00B640B7" w:rsidRDefault="00B640B7" w:rsidP="006D327D">
      <w:pPr>
        <w:ind w:firstLine="426"/>
        <w:jc w:val="left"/>
      </w:pPr>
      <w:r>
        <w:t xml:space="preserve">Rietavo savivaldybės jaunimo organizacijos įgyvendino </w:t>
      </w:r>
      <w:r>
        <w:rPr>
          <w:lang w:val="en-US"/>
        </w:rPr>
        <w:t>3</w:t>
      </w:r>
      <w:r>
        <w:t xml:space="preserve"> projektus pagal </w:t>
      </w:r>
      <w:r>
        <w:rPr>
          <w:lang w:val="pt-BR"/>
        </w:rPr>
        <w:t>201</w:t>
      </w:r>
      <w:r>
        <w:rPr>
          <w:lang w:val="en-US"/>
        </w:rPr>
        <w:t>4</w:t>
      </w:r>
      <w:r w:rsidRPr="000D2CC5">
        <w:rPr>
          <w:lang w:val="pt-BR"/>
        </w:rPr>
        <w:t xml:space="preserve"> met</w:t>
      </w:r>
      <w:r>
        <w:t>ų Vaikų vasaros programą.</w:t>
      </w:r>
    </w:p>
    <w:p w:rsidR="00B640B7" w:rsidRDefault="00B640B7" w:rsidP="00B640B7">
      <w:pPr>
        <w:ind w:firstLine="426"/>
      </w:pPr>
    </w:p>
    <w:p w:rsidR="00B640B7" w:rsidRDefault="00B640B7" w:rsidP="009710AF">
      <w:pPr>
        <w:ind w:firstLine="0"/>
        <w:jc w:val="center"/>
        <w:rPr>
          <w:b/>
        </w:rPr>
      </w:pPr>
      <w:r w:rsidRPr="009F36FC">
        <w:rPr>
          <w:b/>
        </w:rPr>
        <w:t xml:space="preserve">Jaunimo </w:t>
      </w:r>
      <w:r>
        <w:rPr>
          <w:b/>
        </w:rPr>
        <w:t>t</w:t>
      </w:r>
      <w:r w:rsidRPr="00B53125">
        <w:rPr>
          <w:b/>
        </w:rPr>
        <w:t>arptautinis bendradarbiavimas</w:t>
      </w:r>
    </w:p>
    <w:p w:rsidR="00B640B7" w:rsidRPr="008E4701" w:rsidRDefault="00B640B7" w:rsidP="006D327D">
      <w:pPr>
        <w:ind w:firstLine="426"/>
        <w:jc w:val="left"/>
      </w:pPr>
      <w:r w:rsidRPr="004B60C8">
        <w:rPr>
          <w:lang w:eastAsia="ar-SA"/>
        </w:rPr>
        <w:t>Priimti 2 nauji Europos savanorių tarnybos (EST) savanoriai</w:t>
      </w:r>
      <w:r>
        <w:rPr>
          <w:lang w:eastAsia="ar-SA"/>
        </w:rPr>
        <w:t>:</w:t>
      </w:r>
      <w:r w:rsidRPr="00D92C2F">
        <w:t xml:space="preserve"> </w:t>
      </w:r>
      <w:r>
        <w:t xml:space="preserve">iš Ispanijos – </w:t>
      </w:r>
      <w:r w:rsidRPr="008E4701">
        <w:t>1</w:t>
      </w:r>
      <w:r w:rsidR="004F7BA8">
        <w:t>,</w:t>
      </w:r>
      <w:r w:rsidRPr="008E4701">
        <w:t xml:space="preserve">  i</w:t>
      </w:r>
      <w:r>
        <w:t xml:space="preserve">š Turkijos – </w:t>
      </w:r>
      <w:r w:rsidRPr="008E4701">
        <w:t>1</w:t>
      </w:r>
      <w:r w:rsidRPr="004B60C8">
        <w:rPr>
          <w:lang w:eastAsia="ar-SA"/>
        </w:rPr>
        <w:t>, kurie aktyviai prisideda prie organizuojamų jaunimui renginių, susitikimų.</w:t>
      </w:r>
      <w:r>
        <w:t xml:space="preserve"> </w:t>
      </w:r>
    </w:p>
    <w:p w:rsidR="00B640B7" w:rsidRDefault="00B640B7" w:rsidP="006D327D">
      <w:pPr>
        <w:ind w:firstLine="426"/>
        <w:jc w:val="left"/>
        <w:rPr>
          <w:lang w:eastAsia="ar-SA"/>
        </w:rPr>
      </w:pPr>
      <w:r w:rsidRPr="004B60C8">
        <w:rPr>
          <w:lang w:eastAsia="ar-SA"/>
        </w:rPr>
        <w:t>2015 m</w:t>
      </w:r>
      <w:r>
        <w:rPr>
          <w:lang w:eastAsia="ar-SA"/>
        </w:rPr>
        <w:t>. liepos mėn. 5 Rietavo savivaldybės atstovai dalyvavo tarptautiniuose mainuose pagal ES programą „Erasmus</w:t>
      </w:r>
      <w:r>
        <w:rPr>
          <w:lang w:val="en-US" w:eastAsia="ar-SA"/>
        </w:rPr>
        <w:t>+</w:t>
      </w:r>
      <w:r w:rsidR="004F7BA8">
        <w:rPr>
          <w:lang w:val="en-US" w:eastAsia="ar-SA"/>
        </w:rPr>
        <w:t>“</w:t>
      </w:r>
      <w:r>
        <w:rPr>
          <w:lang w:eastAsia="ar-SA"/>
        </w:rPr>
        <w:t xml:space="preserve"> Gulb</w:t>
      </w:r>
      <w:r w:rsidR="004F7BA8">
        <w:rPr>
          <w:lang w:eastAsia="ar-SA"/>
        </w:rPr>
        <w:t>e</w:t>
      </w:r>
      <w:r>
        <w:rPr>
          <w:lang w:eastAsia="ar-SA"/>
        </w:rPr>
        <w:t xml:space="preserve">nėje </w:t>
      </w:r>
      <w:r w:rsidRPr="004B60C8">
        <w:rPr>
          <w:lang w:eastAsia="ar-SA"/>
        </w:rPr>
        <w:t>(Latvija).</w:t>
      </w:r>
    </w:p>
    <w:p w:rsidR="00B640B7" w:rsidRDefault="00B640B7" w:rsidP="006D327D">
      <w:pPr>
        <w:ind w:firstLine="426"/>
        <w:jc w:val="left"/>
        <w:rPr>
          <w:lang w:eastAsia="ar-SA"/>
        </w:rPr>
      </w:pPr>
      <w:r>
        <w:rPr>
          <w:lang w:eastAsia="ar-SA"/>
        </w:rPr>
        <w:t>R</w:t>
      </w:r>
      <w:r w:rsidRPr="004B60C8">
        <w:rPr>
          <w:lang w:eastAsia="ar-SA"/>
        </w:rPr>
        <w:t xml:space="preserve">ugsėjo mėn. </w:t>
      </w:r>
      <w:r w:rsidR="004F7BA8" w:rsidRPr="004B60C8">
        <w:rPr>
          <w:lang w:eastAsia="ar-SA"/>
        </w:rPr>
        <w:t>10</w:t>
      </w:r>
      <w:r w:rsidR="004F7BA8">
        <w:rPr>
          <w:lang w:eastAsia="ar-SA"/>
        </w:rPr>
        <w:t xml:space="preserve"> </w:t>
      </w:r>
      <w:r w:rsidRPr="004B60C8">
        <w:rPr>
          <w:lang w:eastAsia="ar-SA"/>
        </w:rPr>
        <w:t>Rietavo Lauryno Ivinskio gimnazijos  mokinių dalyvavo tarptautinėje moksleivių akademijoje Gulb</w:t>
      </w:r>
      <w:r w:rsidR="004F7BA8">
        <w:rPr>
          <w:lang w:eastAsia="ar-SA"/>
        </w:rPr>
        <w:t>e</w:t>
      </w:r>
      <w:r w:rsidRPr="004B60C8">
        <w:rPr>
          <w:lang w:eastAsia="ar-SA"/>
        </w:rPr>
        <w:t>nėje (Latvija).</w:t>
      </w:r>
    </w:p>
    <w:p w:rsidR="00B640B7" w:rsidRPr="008E4701" w:rsidRDefault="00B640B7" w:rsidP="006D327D">
      <w:pPr>
        <w:ind w:firstLine="426"/>
        <w:jc w:val="left"/>
      </w:pPr>
      <w:r>
        <w:rPr>
          <w:lang w:eastAsia="ar-SA"/>
        </w:rPr>
        <w:t>Lapkričio mėnesį  4 žmonių delegacija vyko į Gulbenės savivaldybės jaunimo forumą.</w:t>
      </w:r>
    </w:p>
    <w:p w:rsidR="00B640B7" w:rsidRDefault="00B640B7" w:rsidP="00B640B7">
      <w:pPr>
        <w:ind w:firstLine="0"/>
        <w:rPr>
          <w:b/>
        </w:rPr>
      </w:pPr>
    </w:p>
    <w:p w:rsidR="00B640B7" w:rsidRPr="0082006A" w:rsidRDefault="00B640B7" w:rsidP="009710AF">
      <w:pPr>
        <w:ind w:firstLine="0"/>
        <w:jc w:val="center"/>
        <w:rPr>
          <w:b/>
          <w:lang w:val="en-US"/>
        </w:rPr>
      </w:pPr>
      <w:r w:rsidRPr="00794512">
        <w:rPr>
          <w:b/>
        </w:rPr>
        <w:t xml:space="preserve">Jaunimo </w:t>
      </w:r>
      <w:r>
        <w:rPr>
          <w:b/>
        </w:rPr>
        <w:t>(</w:t>
      </w:r>
      <w:r>
        <w:rPr>
          <w:b/>
          <w:lang w:val="en-US"/>
        </w:rPr>
        <w:t>14-29 m</w:t>
      </w:r>
      <w:r>
        <w:rPr>
          <w:b/>
        </w:rPr>
        <w:t xml:space="preserve"> amžius) dalyvavimas</w:t>
      </w:r>
    </w:p>
    <w:p w:rsidR="00B640B7" w:rsidRDefault="00B640B7" w:rsidP="006D327D">
      <w:pPr>
        <w:tabs>
          <w:tab w:val="left" w:pos="6405"/>
        </w:tabs>
        <w:jc w:val="left"/>
        <w:rPr>
          <w:lang w:eastAsia="ar-SA"/>
        </w:rPr>
      </w:pPr>
      <w:r>
        <w:rPr>
          <w:lang w:eastAsia="ar-SA"/>
        </w:rPr>
        <w:t xml:space="preserve">Rietavo savivaldybėje veikia: </w:t>
      </w:r>
    </w:p>
    <w:p w:rsidR="00B640B7" w:rsidRDefault="00B640B7" w:rsidP="006D327D">
      <w:pPr>
        <w:tabs>
          <w:tab w:val="left" w:pos="6405"/>
        </w:tabs>
        <w:jc w:val="left"/>
        <w:rPr>
          <w:lang w:eastAsia="ar-SA"/>
        </w:rPr>
      </w:pPr>
      <w:r w:rsidRPr="008E4701">
        <w:rPr>
          <w:lang w:eastAsia="ar-SA"/>
        </w:rPr>
        <w:t>3</w:t>
      </w:r>
      <w:r w:rsidRPr="004B60C8">
        <w:rPr>
          <w:lang w:eastAsia="ar-SA"/>
        </w:rPr>
        <w:t xml:space="preserve"> jaunim</w:t>
      </w:r>
      <w:r>
        <w:rPr>
          <w:lang w:eastAsia="ar-SA"/>
        </w:rPr>
        <w:t>o nevyriausybinės organizacijos (</w:t>
      </w:r>
      <w:r>
        <w:t>Rietavo „Vykinto</w:t>
      </w:r>
      <w:r w:rsidR="004F7BA8">
        <w:t>“ draugovės skautai, Rietavo 3-</w:t>
      </w:r>
      <w:r>
        <w:t xml:space="preserve">oji šaulių kuopa, </w:t>
      </w:r>
      <w:r w:rsidRPr="008E4701">
        <w:t>Rietavo savivaldyb</w:t>
      </w:r>
      <w:r>
        <w:t>ė</w:t>
      </w:r>
      <w:r w:rsidRPr="008E4701">
        <w:t>s jaunimo organizacija „Progresas“)</w:t>
      </w:r>
      <w:r w:rsidR="004F7BA8">
        <w:t>,</w:t>
      </w:r>
      <w:r w:rsidRPr="008E4701">
        <w:t xml:space="preserve"> bendrai vienijan</w:t>
      </w:r>
      <w:r>
        <w:t xml:space="preserve">čios </w:t>
      </w:r>
      <w:r>
        <w:rPr>
          <w:lang w:eastAsia="ar-SA"/>
        </w:rPr>
        <w:t xml:space="preserve">65 jaunuolius; </w:t>
      </w:r>
    </w:p>
    <w:p w:rsidR="00B640B7" w:rsidRDefault="00B640B7" w:rsidP="006D327D">
      <w:pPr>
        <w:tabs>
          <w:tab w:val="left" w:pos="6405"/>
        </w:tabs>
        <w:jc w:val="left"/>
        <w:rPr>
          <w:lang w:eastAsia="ar-SA"/>
        </w:rPr>
      </w:pPr>
      <w:r w:rsidRPr="004B60C8">
        <w:rPr>
          <w:lang w:eastAsia="ar-SA"/>
        </w:rPr>
        <w:t>6 su jaunimu dirbančios organizacijos</w:t>
      </w:r>
      <w:r>
        <w:rPr>
          <w:lang w:eastAsia="ar-SA"/>
        </w:rPr>
        <w:t xml:space="preserve"> vienija 49 jaunuolius;</w:t>
      </w:r>
      <w:r w:rsidRPr="004B60C8">
        <w:rPr>
          <w:lang w:eastAsia="ar-SA"/>
        </w:rPr>
        <w:t xml:space="preserve"> </w:t>
      </w:r>
    </w:p>
    <w:p w:rsidR="00B640B7" w:rsidRDefault="00B640B7" w:rsidP="006D327D">
      <w:pPr>
        <w:tabs>
          <w:tab w:val="left" w:pos="6405"/>
        </w:tabs>
        <w:jc w:val="left"/>
        <w:rPr>
          <w:lang w:eastAsia="ar-SA"/>
        </w:rPr>
      </w:pPr>
      <w:r w:rsidRPr="004B60C8">
        <w:rPr>
          <w:lang w:eastAsia="ar-SA"/>
        </w:rPr>
        <w:t xml:space="preserve">BĮ </w:t>
      </w:r>
      <w:r>
        <w:rPr>
          <w:lang w:eastAsia="ar-SA"/>
        </w:rPr>
        <w:t>Rietavo atviras jaunimo centras, kuriame per 2015 metus buvo 452</w:t>
      </w:r>
      <w:r w:rsidRPr="00AB6A40">
        <w:rPr>
          <w:lang w:eastAsia="ar-SA"/>
        </w:rPr>
        <w:t xml:space="preserve"> </w:t>
      </w:r>
      <w:r>
        <w:rPr>
          <w:lang w:eastAsia="ar-SA"/>
        </w:rPr>
        <w:t>unikalūs apsilankymai;</w:t>
      </w:r>
      <w:r w:rsidRPr="004B60C8">
        <w:rPr>
          <w:lang w:eastAsia="ar-SA"/>
        </w:rPr>
        <w:t xml:space="preserve"> </w:t>
      </w:r>
    </w:p>
    <w:p w:rsidR="00B640B7" w:rsidRDefault="00B640B7" w:rsidP="006D327D">
      <w:pPr>
        <w:tabs>
          <w:tab w:val="left" w:pos="6405"/>
        </w:tabs>
        <w:jc w:val="left"/>
        <w:rPr>
          <w:i/>
          <w:lang w:eastAsia="ar-SA"/>
        </w:rPr>
      </w:pPr>
      <w:r>
        <w:rPr>
          <w:lang w:eastAsia="ar-SA"/>
        </w:rPr>
        <w:t>2015 metais Rietavo savivaldybėje b</w:t>
      </w:r>
      <w:r w:rsidRPr="004B60C8">
        <w:rPr>
          <w:lang w:eastAsia="ar-SA"/>
        </w:rPr>
        <w:t xml:space="preserve">uvo organizuoti </w:t>
      </w:r>
      <w:r w:rsidRPr="00683467">
        <w:rPr>
          <w:color w:val="000000" w:themeColor="text1"/>
          <w:lang w:eastAsia="ar-SA"/>
        </w:rPr>
        <w:t>84</w:t>
      </w:r>
      <w:r w:rsidRPr="004B60C8">
        <w:rPr>
          <w:lang w:eastAsia="ar-SA"/>
        </w:rPr>
        <w:t xml:space="preserve"> renginiai, kuriuose dalyvavo </w:t>
      </w:r>
      <w:r w:rsidRPr="00683467">
        <w:rPr>
          <w:color w:val="000000" w:themeColor="text1"/>
          <w:lang w:eastAsia="ar-SA"/>
        </w:rPr>
        <w:t>1297</w:t>
      </w:r>
      <w:r w:rsidRPr="004B60C8">
        <w:rPr>
          <w:lang w:eastAsia="ar-SA"/>
        </w:rPr>
        <w:t xml:space="preserve"> jauni žmonės.</w:t>
      </w:r>
      <w:r>
        <w:rPr>
          <w:lang w:eastAsia="ar-SA"/>
        </w:rPr>
        <w:t xml:space="preserve"> </w:t>
      </w:r>
    </w:p>
    <w:p w:rsidR="00B640B7" w:rsidRDefault="00B640B7" w:rsidP="006D327D">
      <w:pPr>
        <w:ind w:firstLine="426"/>
        <w:jc w:val="left"/>
      </w:pPr>
    </w:p>
    <w:p w:rsidR="00B640B7" w:rsidRDefault="00B640B7" w:rsidP="009710AF">
      <w:pPr>
        <w:ind w:firstLine="0"/>
        <w:jc w:val="center"/>
        <w:rPr>
          <w:b/>
        </w:rPr>
      </w:pPr>
      <w:r w:rsidRPr="0006309B">
        <w:rPr>
          <w:b/>
        </w:rPr>
        <w:lastRenderedPageBreak/>
        <w:t>Duomenys iš Teritorinės darbo biržos</w:t>
      </w:r>
    </w:p>
    <w:p w:rsidR="00B640B7" w:rsidRDefault="00B640B7" w:rsidP="00B640B7">
      <w:pPr>
        <w:ind w:firstLine="0"/>
        <w:rPr>
          <w:lang w:eastAsia="ar-SA"/>
        </w:rPr>
      </w:pPr>
      <w:r w:rsidRPr="004B60C8">
        <w:rPr>
          <w:lang w:eastAsia="ar-SA"/>
        </w:rPr>
        <w:t xml:space="preserve">     </w:t>
      </w:r>
      <w:r>
        <w:rPr>
          <w:noProof/>
          <w:lang w:eastAsia="lt-LT"/>
        </w:rPr>
        <w:drawing>
          <wp:inline distT="0" distB="0" distL="0" distR="0">
            <wp:extent cx="6049010" cy="895103"/>
            <wp:effectExtent l="19050" t="0" r="8890" b="0"/>
            <wp:docPr id="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srcRect/>
                    <a:stretch>
                      <a:fillRect/>
                    </a:stretch>
                  </pic:blipFill>
                  <pic:spPr bwMode="auto">
                    <a:xfrm>
                      <a:off x="0" y="0"/>
                      <a:ext cx="6082319" cy="900032"/>
                    </a:xfrm>
                    <a:prstGeom prst="rect">
                      <a:avLst/>
                    </a:prstGeom>
                    <a:noFill/>
                    <a:ln w="9525">
                      <a:noFill/>
                      <a:miter lim="800000"/>
                      <a:headEnd/>
                      <a:tailEnd/>
                    </a:ln>
                  </pic:spPr>
                </pic:pic>
              </a:graphicData>
            </a:graphic>
          </wp:inline>
        </w:drawing>
      </w:r>
    </w:p>
    <w:p w:rsidR="00B640B7" w:rsidRDefault="00B640B7" w:rsidP="00B640B7">
      <w:pPr>
        <w:ind w:firstLine="0"/>
        <w:rPr>
          <w:lang w:eastAsia="ar-SA"/>
        </w:rPr>
      </w:pPr>
    </w:p>
    <w:p w:rsidR="00B640B7" w:rsidRPr="00136EFF" w:rsidRDefault="00B640B7" w:rsidP="00B640B7">
      <w:pPr>
        <w:ind w:firstLine="0"/>
        <w:rPr>
          <w:i/>
        </w:rPr>
      </w:pPr>
    </w:p>
    <w:tbl>
      <w:tblPr>
        <w:tblW w:w="4874" w:type="pct"/>
        <w:tblLook w:val="0000"/>
      </w:tblPr>
      <w:tblGrid>
        <w:gridCol w:w="2623"/>
        <w:gridCol w:w="2096"/>
        <w:gridCol w:w="2375"/>
        <w:gridCol w:w="2375"/>
      </w:tblGrid>
      <w:tr w:rsidR="00B640B7" w:rsidTr="00B640B7">
        <w:trPr>
          <w:trHeight w:val="620"/>
        </w:trPr>
        <w:tc>
          <w:tcPr>
            <w:tcW w:w="1385" w:type="pct"/>
            <w:tcBorders>
              <w:top w:val="single" w:sz="4" w:space="0" w:color="000000"/>
              <w:left w:val="single" w:sz="4" w:space="0" w:color="000000"/>
              <w:bottom w:val="single" w:sz="4" w:space="0" w:color="000000"/>
              <w:right w:val="single" w:sz="4" w:space="0" w:color="000000"/>
            </w:tcBorders>
            <w:shd w:val="clear" w:color="auto" w:fill="D9D9D9"/>
            <w:vAlign w:val="center"/>
          </w:tcPr>
          <w:p w:rsidR="00B640B7" w:rsidRDefault="00B640B7" w:rsidP="00B640B7">
            <w:r w:rsidRPr="009D5ED7">
              <w:rPr>
                <w:b/>
                <w:sz w:val="23"/>
                <w:szCs w:val="23"/>
              </w:rPr>
              <w:t> </w:t>
            </w:r>
          </w:p>
        </w:tc>
        <w:tc>
          <w:tcPr>
            <w:tcW w:w="1107" w:type="pct"/>
            <w:tcBorders>
              <w:top w:val="single" w:sz="4" w:space="0" w:color="000000"/>
              <w:left w:val="nil"/>
              <w:bottom w:val="single" w:sz="4" w:space="0" w:color="000000"/>
              <w:right w:val="single" w:sz="4" w:space="0" w:color="000000"/>
            </w:tcBorders>
            <w:shd w:val="clear" w:color="auto" w:fill="D9D9D9"/>
            <w:vAlign w:val="center"/>
          </w:tcPr>
          <w:p w:rsidR="00B640B7" w:rsidRDefault="00B640B7" w:rsidP="00B640B7">
            <w:pPr>
              <w:ind w:firstLine="0"/>
            </w:pPr>
            <w:r w:rsidRPr="009D5ED7">
              <w:rPr>
                <w:b/>
                <w:sz w:val="23"/>
                <w:szCs w:val="23"/>
              </w:rPr>
              <w:t>2013 m. sausio 1 d.</w:t>
            </w:r>
          </w:p>
        </w:tc>
        <w:tc>
          <w:tcPr>
            <w:tcW w:w="1254" w:type="pct"/>
            <w:tcBorders>
              <w:top w:val="single" w:sz="4" w:space="0" w:color="000000"/>
              <w:left w:val="nil"/>
              <w:bottom w:val="single" w:sz="4" w:space="0" w:color="000000"/>
              <w:right w:val="single" w:sz="4" w:space="0" w:color="000000"/>
            </w:tcBorders>
            <w:shd w:val="clear" w:color="auto" w:fill="D9D9D9"/>
            <w:vAlign w:val="center"/>
          </w:tcPr>
          <w:p w:rsidR="00B640B7" w:rsidRDefault="00B640B7" w:rsidP="00B640B7">
            <w:pPr>
              <w:ind w:firstLine="0"/>
            </w:pPr>
            <w:r w:rsidRPr="009D5ED7">
              <w:rPr>
                <w:b/>
                <w:sz w:val="23"/>
                <w:szCs w:val="23"/>
              </w:rPr>
              <w:t>2015 m. lapkričio 1 d.</w:t>
            </w:r>
          </w:p>
        </w:tc>
        <w:tc>
          <w:tcPr>
            <w:tcW w:w="1255" w:type="pct"/>
            <w:tcBorders>
              <w:top w:val="single" w:sz="4" w:space="0" w:color="000000"/>
              <w:left w:val="nil"/>
              <w:bottom w:val="single" w:sz="4" w:space="0" w:color="000000"/>
              <w:right w:val="single" w:sz="4" w:space="0" w:color="000000"/>
            </w:tcBorders>
            <w:shd w:val="clear" w:color="auto" w:fill="D9D9D9"/>
            <w:vAlign w:val="center"/>
          </w:tcPr>
          <w:p w:rsidR="00B640B7" w:rsidRDefault="00B640B7" w:rsidP="004F7BA8">
            <w:pPr>
              <w:ind w:firstLine="0"/>
            </w:pPr>
            <w:r w:rsidRPr="009D5ED7">
              <w:rPr>
                <w:b/>
                <w:sz w:val="23"/>
                <w:szCs w:val="23"/>
              </w:rPr>
              <w:t>Pokytis proc.</w:t>
            </w:r>
          </w:p>
        </w:tc>
      </w:tr>
      <w:tr w:rsidR="00B640B7" w:rsidTr="00B640B7">
        <w:trPr>
          <w:trHeight w:val="300"/>
        </w:trPr>
        <w:tc>
          <w:tcPr>
            <w:tcW w:w="1385" w:type="pct"/>
            <w:tcBorders>
              <w:top w:val="nil"/>
              <w:left w:val="single" w:sz="4" w:space="0" w:color="000000"/>
              <w:bottom w:val="single" w:sz="4" w:space="0" w:color="000000"/>
              <w:right w:val="single" w:sz="4" w:space="0" w:color="000000"/>
            </w:tcBorders>
            <w:vAlign w:val="center"/>
          </w:tcPr>
          <w:p w:rsidR="00B640B7" w:rsidRDefault="00B640B7" w:rsidP="00B640B7">
            <w:r w:rsidRPr="009D5ED7">
              <w:rPr>
                <w:sz w:val="23"/>
                <w:szCs w:val="23"/>
              </w:rPr>
              <w:t>Bedarbiai</w:t>
            </w:r>
          </w:p>
        </w:tc>
        <w:tc>
          <w:tcPr>
            <w:tcW w:w="1107"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691</w:t>
            </w:r>
          </w:p>
        </w:tc>
        <w:tc>
          <w:tcPr>
            <w:tcW w:w="1254"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513</w:t>
            </w:r>
          </w:p>
        </w:tc>
        <w:tc>
          <w:tcPr>
            <w:tcW w:w="1255"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-25,76</w:t>
            </w:r>
          </w:p>
        </w:tc>
      </w:tr>
      <w:tr w:rsidR="00B640B7" w:rsidTr="00B640B7">
        <w:trPr>
          <w:trHeight w:val="300"/>
        </w:trPr>
        <w:tc>
          <w:tcPr>
            <w:tcW w:w="1385" w:type="pct"/>
            <w:tcBorders>
              <w:top w:val="nil"/>
              <w:left w:val="single" w:sz="4" w:space="0" w:color="000000"/>
              <w:bottom w:val="single" w:sz="4" w:space="0" w:color="000000"/>
              <w:right w:val="single" w:sz="4" w:space="0" w:color="000000"/>
            </w:tcBorders>
            <w:vAlign w:val="center"/>
          </w:tcPr>
          <w:p w:rsidR="00B640B7" w:rsidRDefault="00B640B7" w:rsidP="00B640B7">
            <w:r w:rsidRPr="009D5ED7">
              <w:rPr>
                <w:sz w:val="23"/>
                <w:szCs w:val="23"/>
              </w:rPr>
              <w:t>Nedarbo proc.</w:t>
            </w:r>
          </w:p>
        </w:tc>
        <w:tc>
          <w:tcPr>
            <w:tcW w:w="1107"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10,12</w:t>
            </w:r>
          </w:p>
        </w:tc>
        <w:tc>
          <w:tcPr>
            <w:tcW w:w="1254"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8,14</w:t>
            </w:r>
          </w:p>
        </w:tc>
        <w:tc>
          <w:tcPr>
            <w:tcW w:w="1255"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-19,57</w:t>
            </w:r>
          </w:p>
        </w:tc>
      </w:tr>
      <w:tr w:rsidR="00B640B7" w:rsidTr="00B640B7">
        <w:trPr>
          <w:trHeight w:val="300"/>
        </w:trPr>
        <w:tc>
          <w:tcPr>
            <w:tcW w:w="1385" w:type="pct"/>
            <w:tcBorders>
              <w:top w:val="nil"/>
              <w:left w:val="single" w:sz="4" w:space="0" w:color="000000"/>
              <w:bottom w:val="single" w:sz="4" w:space="0" w:color="000000"/>
              <w:right w:val="single" w:sz="4" w:space="0" w:color="000000"/>
            </w:tcBorders>
            <w:vAlign w:val="center"/>
          </w:tcPr>
          <w:p w:rsidR="00B640B7" w:rsidRDefault="00B640B7" w:rsidP="00B640B7">
            <w:r w:rsidRPr="009D5ED7">
              <w:rPr>
                <w:sz w:val="23"/>
                <w:szCs w:val="23"/>
              </w:rPr>
              <w:t>Vyrai</w:t>
            </w:r>
          </w:p>
        </w:tc>
        <w:tc>
          <w:tcPr>
            <w:tcW w:w="1107"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375</w:t>
            </w:r>
          </w:p>
        </w:tc>
        <w:tc>
          <w:tcPr>
            <w:tcW w:w="1254"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307</w:t>
            </w:r>
          </w:p>
        </w:tc>
        <w:tc>
          <w:tcPr>
            <w:tcW w:w="1255"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-18,14</w:t>
            </w:r>
          </w:p>
        </w:tc>
      </w:tr>
      <w:tr w:rsidR="00B640B7" w:rsidTr="00B640B7">
        <w:trPr>
          <w:trHeight w:val="300"/>
        </w:trPr>
        <w:tc>
          <w:tcPr>
            <w:tcW w:w="1385" w:type="pct"/>
            <w:tcBorders>
              <w:top w:val="nil"/>
              <w:left w:val="single" w:sz="4" w:space="0" w:color="000000"/>
              <w:bottom w:val="single" w:sz="4" w:space="0" w:color="000000"/>
              <w:right w:val="single" w:sz="4" w:space="0" w:color="000000"/>
            </w:tcBorders>
            <w:vAlign w:val="center"/>
          </w:tcPr>
          <w:p w:rsidR="00B640B7" w:rsidRDefault="00B640B7" w:rsidP="00B640B7">
            <w:r w:rsidRPr="009D5ED7">
              <w:rPr>
                <w:sz w:val="23"/>
                <w:szCs w:val="23"/>
              </w:rPr>
              <w:t>Moterys</w:t>
            </w:r>
          </w:p>
        </w:tc>
        <w:tc>
          <w:tcPr>
            <w:tcW w:w="1107"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316</w:t>
            </w:r>
          </w:p>
        </w:tc>
        <w:tc>
          <w:tcPr>
            <w:tcW w:w="1254"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206</w:t>
            </w:r>
          </w:p>
        </w:tc>
        <w:tc>
          <w:tcPr>
            <w:tcW w:w="1255" w:type="pct"/>
            <w:tcBorders>
              <w:top w:val="nil"/>
              <w:left w:val="nil"/>
              <w:bottom w:val="single" w:sz="4" w:space="0" w:color="000000"/>
              <w:right w:val="single" w:sz="4" w:space="0" w:color="000000"/>
            </w:tcBorders>
            <w:vAlign w:val="center"/>
          </w:tcPr>
          <w:p w:rsidR="00B640B7" w:rsidRDefault="00B640B7" w:rsidP="00B640B7">
            <w:pPr>
              <w:jc w:val="center"/>
            </w:pPr>
            <w:r w:rsidRPr="009D5ED7">
              <w:rPr>
                <w:sz w:val="23"/>
                <w:szCs w:val="23"/>
              </w:rPr>
              <w:t>-34,82</w:t>
            </w:r>
          </w:p>
        </w:tc>
      </w:tr>
      <w:tr w:rsidR="00B640B7" w:rsidTr="00B640B7">
        <w:trPr>
          <w:trHeight w:val="300"/>
        </w:trPr>
        <w:tc>
          <w:tcPr>
            <w:tcW w:w="1385" w:type="pct"/>
            <w:tcBorders>
              <w:top w:val="nil"/>
              <w:left w:val="single" w:sz="4" w:space="0" w:color="000000"/>
              <w:bottom w:val="single" w:sz="4" w:space="0" w:color="000000"/>
              <w:right w:val="single" w:sz="4" w:space="0" w:color="000000"/>
            </w:tcBorders>
            <w:vAlign w:val="center"/>
          </w:tcPr>
          <w:p w:rsidR="00B640B7" w:rsidRPr="00353B5D" w:rsidRDefault="00B640B7" w:rsidP="00B640B7">
            <w:pPr>
              <w:rPr>
                <w:b/>
              </w:rPr>
            </w:pPr>
            <w:r w:rsidRPr="00353B5D">
              <w:rPr>
                <w:b/>
                <w:sz w:val="23"/>
                <w:szCs w:val="23"/>
              </w:rPr>
              <w:t>Jaunimas</w:t>
            </w:r>
          </w:p>
        </w:tc>
        <w:tc>
          <w:tcPr>
            <w:tcW w:w="1107" w:type="pct"/>
            <w:tcBorders>
              <w:top w:val="nil"/>
              <w:left w:val="nil"/>
              <w:bottom w:val="single" w:sz="4" w:space="0" w:color="000000"/>
              <w:right w:val="single" w:sz="4" w:space="0" w:color="000000"/>
            </w:tcBorders>
            <w:vAlign w:val="center"/>
          </w:tcPr>
          <w:p w:rsidR="00B640B7" w:rsidRPr="00353B5D" w:rsidRDefault="00B640B7" w:rsidP="00B640B7">
            <w:pPr>
              <w:jc w:val="center"/>
              <w:rPr>
                <w:b/>
              </w:rPr>
            </w:pPr>
            <w:r w:rsidRPr="00353B5D">
              <w:rPr>
                <w:b/>
                <w:sz w:val="23"/>
                <w:szCs w:val="23"/>
              </w:rPr>
              <w:t>200</w:t>
            </w:r>
          </w:p>
        </w:tc>
        <w:tc>
          <w:tcPr>
            <w:tcW w:w="1254" w:type="pct"/>
            <w:tcBorders>
              <w:top w:val="nil"/>
              <w:left w:val="nil"/>
              <w:bottom w:val="single" w:sz="4" w:space="0" w:color="000000"/>
              <w:right w:val="single" w:sz="4" w:space="0" w:color="000000"/>
            </w:tcBorders>
            <w:vAlign w:val="center"/>
          </w:tcPr>
          <w:p w:rsidR="00B640B7" w:rsidRPr="00353B5D" w:rsidRDefault="00B640B7" w:rsidP="00B640B7">
            <w:pPr>
              <w:jc w:val="center"/>
              <w:rPr>
                <w:b/>
              </w:rPr>
            </w:pPr>
            <w:r w:rsidRPr="00353B5D">
              <w:rPr>
                <w:b/>
                <w:sz w:val="23"/>
                <w:szCs w:val="23"/>
              </w:rPr>
              <w:t>176</w:t>
            </w:r>
          </w:p>
        </w:tc>
        <w:tc>
          <w:tcPr>
            <w:tcW w:w="1255" w:type="pct"/>
            <w:tcBorders>
              <w:top w:val="nil"/>
              <w:left w:val="nil"/>
              <w:bottom w:val="single" w:sz="4" w:space="0" w:color="000000"/>
              <w:right w:val="single" w:sz="4" w:space="0" w:color="000000"/>
            </w:tcBorders>
            <w:vAlign w:val="center"/>
          </w:tcPr>
          <w:p w:rsidR="00B640B7" w:rsidRPr="00353B5D" w:rsidRDefault="00B640B7" w:rsidP="00B640B7">
            <w:pPr>
              <w:jc w:val="center"/>
              <w:rPr>
                <w:b/>
              </w:rPr>
            </w:pPr>
            <w:r w:rsidRPr="00353B5D">
              <w:rPr>
                <w:b/>
                <w:sz w:val="23"/>
                <w:szCs w:val="23"/>
              </w:rPr>
              <w:t>-12,00</w:t>
            </w:r>
          </w:p>
        </w:tc>
      </w:tr>
    </w:tbl>
    <w:p w:rsidR="00B640B7" w:rsidRDefault="00B640B7" w:rsidP="00B640B7">
      <w:pPr>
        <w:ind w:firstLine="0"/>
        <w:rPr>
          <w:lang w:val="en-US"/>
        </w:rPr>
      </w:pPr>
    </w:p>
    <w:p w:rsidR="00E97ECA" w:rsidRPr="00630125" w:rsidRDefault="00E97ECA" w:rsidP="00E97ECA">
      <w:pPr>
        <w:ind w:firstLine="0"/>
        <w:rPr>
          <w:i/>
        </w:rPr>
      </w:pPr>
      <w:r w:rsidRPr="00630125">
        <w:rPr>
          <w:i/>
        </w:rPr>
        <w:t xml:space="preserve">      </w:t>
      </w:r>
    </w:p>
    <w:p w:rsidR="00E97ECA" w:rsidRPr="00630125" w:rsidRDefault="00E97ECA" w:rsidP="00E97ECA">
      <w:pPr>
        <w:rPr>
          <w:i/>
          <w:color w:val="000000"/>
        </w:rPr>
      </w:pPr>
    </w:p>
    <w:p w:rsidR="00E97ECA" w:rsidRPr="00FB46F1" w:rsidRDefault="00E97ECA" w:rsidP="00E97ECA">
      <w:pPr>
        <w:jc w:val="left"/>
        <w:rPr>
          <w:b/>
          <w:szCs w:val="24"/>
        </w:rPr>
      </w:pPr>
      <w:r w:rsidRPr="00FB46F1">
        <w:rPr>
          <w:b/>
          <w:szCs w:val="24"/>
        </w:rPr>
        <w:t xml:space="preserve">                                    PROJEKTAI IR INVESTICIJOS</w:t>
      </w:r>
    </w:p>
    <w:p w:rsidR="00E97ECA" w:rsidRPr="00FB46F1" w:rsidRDefault="00E97ECA" w:rsidP="00E97ECA">
      <w:pPr>
        <w:rPr>
          <w:color w:val="000000"/>
        </w:rPr>
      </w:pPr>
    </w:p>
    <w:p w:rsidR="00E97ECA" w:rsidRPr="00FB46F1" w:rsidRDefault="00E97ECA" w:rsidP="00E97ECA">
      <w:pPr>
        <w:rPr>
          <w:b/>
        </w:rPr>
      </w:pPr>
      <w:r w:rsidRPr="00FB46F1">
        <w:rPr>
          <w:b/>
        </w:rPr>
        <w:t>201</w:t>
      </w:r>
      <w:r w:rsidR="00FB46F1" w:rsidRPr="00FB46F1">
        <w:rPr>
          <w:b/>
        </w:rPr>
        <w:t>5</w:t>
      </w:r>
      <w:r w:rsidRPr="00FB46F1">
        <w:rPr>
          <w:b/>
        </w:rPr>
        <w:t xml:space="preserve"> M. ĮGYVENDINTI ŠIE PROJEKTAI:</w:t>
      </w:r>
    </w:p>
    <w:p w:rsidR="00E97ECA" w:rsidRPr="00630125" w:rsidRDefault="00E97ECA" w:rsidP="00E97ECA">
      <w:pPr>
        <w:rPr>
          <w:b/>
          <w:i/>
        </w:rPr>
      </w:pPr>
    </w:p>
    <w:p w:rsidR="00FB46F1" w:rsidRDefault="00FB46F1" w:rsidP="006D327D">
      <w:pPr>
        <w:ind w:firstLine="0"/>
        <w:jc w:val="left"/>
      </w:pPr>
      <w:r>
        <w:t xml:space="preserve">          </w:t>
      </w:r>
      <w:r w:rsidRPr="00FB46F1">
        <w:rPr>
          <w:b/>
        </w:rPr>
        <w:t>Projektas ,,Pėsčiųjų ir dviračių tako Rietavo miesto Plungės gatvėje, kuri sutampa su krašto keliu Nr. 164 Mažeikiai–Plungė–Tauragė, įrengimas“.</w:t>
      </w:r>
      <w:r>
        <w:t xml:space="preserve"> </w:t>
      </w:r>
      <w:r w:rsidRPr="00263842">
        <w:t xml:space="preserve">Projektas finansuojamas Kelių priežiūros ir plėtros programos  lėšomis. Projekto įgyvendinimo pradžia – </w:t>
      </w:r>
      <w:r w:rsidRPr="005D13BC">
        <w:t>2014-06-04.</w:t>
      </w:r>
      <w:r w:rsidRPr="00263842">
        <w:rPr>
          <w:b/>
        </w:rPr>
        <w:t xml:space="preserve"> </w:t>
      </w:r>
      <w:r w:rsidRPr="00263842">
        <w:t xml:space="preserve">Projekto įgyvendinimo pabaiga – </w:t>
      </w:r>
      <w:r w:rsidRPr="005D13BC">
        <w:t>2015</w:t>
      </w:r>
      <w:r>
        <w:t>-</w:t>
      </w:r>
      <w:r w:rsidRPr="005D13BC">
        <w:t>12</w:t>
      </w:r>
      <w:r>
        <w:t>-</w:t>
      </w:r>
      <w:r w:rsidRPr="005D13BC">
        <w:t>31.</w:t>
      </w:r>
      <w:r w:rsidRPr="00263842">
        <w:rPr>
          <w:b/>
          <w:color w:val="FF0000"/>
        </w:rPr>
        <w:t xml:space="preserve"> </w:t>
      </w:r>
      <w:r>
        <w:t>Tako įrengimo darbus vykdė UAB „</w:t>
      </w:r>
      <w:r w:rsidRPr="004032B7">
        <w:rPr>
          <w:color w:val="000000"/>
        </w:rPr>
        <w:t>Plungės Jonis-S“,</w:t>
      </w:r>
      <w:r w:rsidRPr="00AD2446">
        <w:t xml:space="preserve"> </w:t>
      </w:r>
      <w:r>
        <w:t>d</w:t>
      </w:r>
      <w:r w:rsidRPr="00AD2446">
        <w:t xml:space="preserve">arbų techninę priežiūrą </w:t>
      </w:r>
      <w:r>
        <w:t>–</w:t>
      </w:r>
      <w:r w:rsidRPr="00AD2446">
        <w:t xml:space="preserve"> UAB „Inžinerinė mintis“, projekto vykdymo priežiūrą </w:t>
      </w:r>
      <w:r>
        <w:t>–</w:t>
      </w:r>
      <w:r w:rsidRPr="00AD2446">
        <w:t xml:space="preserve"> UAB „Kelvista“. </w:t>
      </w:r>
      <w:r>
        <w:t xml:space="preserve"> </w:t>
      </w:r>
      <w:r w:rsidRPr="003217E3">
        <w:t xml:space="preserve">Nuo </w:t>
      </w:r>
      <w:r>
        <w:t>statybos</w:t>
      </w:r>
      <w:r w:rsidRPr="003217E3">
        <w:t xml:space="preserve"> pradžios atlikta darbų už</w:t>
      </w:r>
      <w:r w:rsidRPr="00263842">
        <w:rPr>
          <w:color w:val="FF0000"/>
        </w:rPr>
        <w:t xml:space="preserve"> </w:t>
      </w:r>
      <w:r w:rsidRPr="005D13BC">
        <w:t>598795 Eur.</w:t>
      </w:r>
      <w:r w:rsidRPr="00263842">
        <w:rPr>
          <w:color w:val="FF0000"/>
        </w:rPr>
        <w:t xml:space="preserve"> </w:t>
      </w:r>
      <w:r w:rsidRPr="003217E3">
        <w:t>Įgyvendinus projektą</w:t>
      </w:r>
      <w:r w:rsidR="004F7BA8">
        <w:t>,</w:t>
      </w:r>
      <w:r w:rsidRPr="003217E3">
        <w:t xml:space="preserve"> </w:t>
      </w:r>
      <w:r>
        <w:t>naujai</w:t>
      </w:r>
      <w:r w:rsidRPr="00263842">
        <w:rPr>
          <w:color w:val="FF0000"/>
        </w:rPr>
        <w:t xml:space="preserve"> </w:t>
      </w:r>
      <w:r w:rsidRPr="005D13BC">
        <w:t>įrengtas 580 m</w:t>
      </w:r>
      <w:r w:rsidRPr="00263842">
        <w:rPr>
          <w:color w:val="FF0000"/>
        </w:rPr>
        <w:t xml:space="preserve"> </w:t>
      </w:r>
      <w:r w:rsidRPr="009A2C79">
        <w:t xml:space="preserve">ilgio pėsčiųjų ir dviračių takas, </w:t>
      </w:r>
      <w:r>
        <w:t>pastatyta 15 šviestuvų, įrengta</w:t>
      </w:r>
      <w:r w:rsidRPr="009A2C79">
        <w:t xml:space="preserve"> </w:t>
      </w:r>
      <w:r>
        <w:t xml:space="preserve">42 m </w:t>
      </w:r>
      <w:r w:rsidRPr="009A2C79">
        <w:t xml:space="preserve">lietaus nuotekų </w:t>
      </w:r>
      <w:r>
        <w:t>surinkimo tinklų</w:t>
      </w:r>
      <w:r w:rsidRPr="00263842">
        <w:rPr>
          <w:color w:val="FF0000"/>
        </w:rPr>
        <w:t xml:space="preserve">. </w:t>
      </w:r>
      <w:r w:rsidRPr="005D13BC">
        <w:t xml:space="preserve">Šiuo projektu pasiektas pagrindinis tikslas </w:t>
      </w:r>
      <w:r>
        <w:t>–</w:t>
      </w:r>
      <w:r w:rsidRPr="005D13BC">
        <w:t xml:space="preserve"> išplėsta Rietavo miesto pėsčiųjų ir dviračių takų infrastruktūra, pritaikyta augančiam pėsčiųjų ir dviratininkų eismui, mažinanti neigiamą transporto poveikį aplinkai ir kurianti palankią aplinką </w:t>
      </w:r>
      <w:r>
        <w:t>aktyviam</w:t>
      </w:r>
      <w:r w:rsidRPr="005D13BC">
        <w:t xml:space="preserve"> gyvenimo būdui.</w:t>
      </w:r>
    </w:p>
    <w:p w:rsidR="00FB46F1" w:rsidRDefault="00FB46F1" w:rsidP="006D327D">
      <w:pPr>
        <w:ind w:firstLine="0"/>
        <w:jc w:val="left"/>
      </w:pPr>
    </w:p>
    <w:p w:rsidR="00FB46F1" w:rsidRDefault="00FB46F1" w:rsidP="006D327D">
      <w:pPr>
        <w:ind w:firstLine="0"/>
        <w:jc w:val="left"/>
      </w:pPr>
      <w:r>
        <w:rPr>
          <w:b/>
        </w:rPr>
        <w:t xml:space="preserve">           </w:t>
      </w:r>
      <w:r w:rsidRPr="00FB46F1">
        <w:rPr>
          <w:b/>
        </w:rPr>
        <w:t xml:space="preserve">Projektas ,,Rietavo Oginskių dvaro sodybos parko su prieigomis specialiojo plano ir Rietavo Oginskių dvaro sodybos parko su prieigomis detaliojo plano rengimas“. </w:t>
      </w:r>
      <w:r w:rsidRPr="00EC6343">
        <w:t xml:space="preserve">Projekto vertė – </w:t>
      </w:r>
      <w:r>
        <w:t>52654,34 Eur. Projektavimo paslaugas atliko</w:t>
      </w:r>
      <w:r w:rsidRPr="00EC6343">
        <w:t xml:space="preserve"> UAB  „Projektavimo ir restauravimo institutas“.</w:t>
      </w:r>
      <w:r>
        <w:t xml:space="preserve"> Specialusis planas patvirtintas LR </w:t>
      </w:r>
      <w:r w:rsidR="004F7BA8">
        <w:t>k</w:t>
      </w:r>
      <w:r>
        <w:t>ultūros ministro 2014-07-10 įsakymu Nr. ĮV-544. Detalusis planas patvirtintas Rietavo savivaldybės administracijos direktoriaus 2015-05-28 įsakymu Nr. AV- 309.</w:t>
      </w:r>
    </w:p>
    <w:p w:rsidR="00FB46F1" w:rsidRPr="001B1823" w:rsidRDefault="00FB46F1" w:rsidP="006D327D">
      <w:pPr>
        <w:ind w:firstLine="0"/>
        <w:jc w:val="left"/>
        <w:rPr>
          <w:color w:val="FF0000"/>
        </w:rPr>
      </w:pPr>
    </w:p>
    <w:p w:rsidR="00FB46F1" w:rsidRPr="005D13BC" w:rsidRDefault="00FB46F1" w:rsidP="006D327D">
      <w:pPr>
        <w:ind w:firstLine="0"/>
        <w:jc w:val="left"/>
      </w:pPr>
      <w:r>
        <w:rPr>
          <w:b/>
        </w:rPr>
        <w:t xml:space="preserve">              </w:t>
      </w:r>
      <w:r w:rsidRPr="00FB46F1">
        <w:rPr>
          <w:b/>
        </w:rPr>
        <w:t>Projektas</w:t>
      </w:r>
      <w:r w:rsidRPr="00FB46F1">
        <w:rPr>
          <w:b/>
          <w:sz w:val="28"/>
          <w:szCs w:val="28"/>
        </w:rPr>
        <w:t xml:space="preserve"> </w:t>
      </w:r>
      <w:r w:rsidRPr="00FB46F1">
        <w:rPr>
          <w:b/>
        </w:rPr>
        <w:t>„Naujos Rietavo miesto katilinės statyba įrengiant 4 MW galios vandens šildymo katilus ir dūmų kondensacinį ekonomaizerį“.</w:t>
      </w:r>
      <w:r w:rsidRPr="005D13BC">
        <w:t xml:space="preserve"> Projektą įgyvendino Rietavo savivaldybės administracija kartu su UAB ,,Rietavo komunalinis ūkis“ pagal jungtinės veiklos sutartį. Projektas finansuojamas </w:t>
      </w:r>
      <w:r>
        <w:t>iš 4</w:t>
      </w:r>
      <w:r w:rsidRPr="005D13BC">
        <w:t xml:space="preserve"> finansavimo šaltinių: Rietavo savivaldybės biudžeto lėšos </w:t>
      </w:r>
      <w:r>
        <w:t>–</w:t>
      </w:r>
      <w:r w:rsidRPr="005D13BC">
        <w:t xml:space="preserve"> 289620</w:t>
      </w:r>
      <w:r>
        <w:t xml:space="preserve"> Eur</w:t>
      </w:r>
      <w:r w:rsidRPr="005D13BC">
        <w:t>, Valstybės</w:t>
      </w:r>
      <w:r>
        <w:t xml:space="preserve"> investicijų programos</w:t>
      </w:r>
      <w:r w:rsidRPr="005D13BC">
        <w:t xml:space="preserve"> lėšos </w:t>
      </w:r>
      <w:r>
        <w:t>–</w:t>
      </w:r>
      <w:r w:rsidRPr="005D13BC">
        <w:t xml:space="preserve"> 1158480 Eur, LAIF programos lėšos – 270794,71 Eur, UAB ,,Rietavo komunalinis ūkis“ nuosavos lėšos </w:t>
      </w:r>
      <w:r>
        <w:t>–</w:t>
      </w:r>
      <w:r w:rsidRPr="005D13BC">
        <w:t xml:space="preserve"> 317977,48 Eur. Bendra projekto vertė </w:t>
      </w:r>
      <w:r w:rsidR="004F7BA8">
        <w:t>–</w:t>
      </w:r>
      <w:r w:rsidRPr="005D13BC">
        <w:t xml:space="preserve"> 2036872,19</w:t>
      </w:r>
      <w:r>
        <w:t xml:space="preserve"> </w:t>
      </w:r>
      <w:r w:rsidRPr="005D13BC">
        <w:t>Eur. Už šias lėšas parengtas techninis projektas, pastatyta nauja katilinė, biokuro sandėl</w:t>
      </w:r>
      <w:r w:rsidR="004F7BA8">
        <w:t>i</w:t>
      </w:r>
      <w:r w:rsidRPr="005D13BC">
        <w:t>s, 1 MW galios rezervinis skysto kuro  katilas, dūmtraukis su pagalbiniais pelenų šalinimo įrenginiais, 3 MW biokuro katilas su kondensacinio tipo ekonomaizeriu. Statybos darbus atliko – UAB „Enerstena“. Statybos technin</w:t>
      </w:r>
      <w:r w:rsidR="004F7BA8">
        <w:t>ės</w:t>
      </w:r>
      <w:r w:rsidRPr="005D13BC">
        <w:t xml:space="preserve"> priežiūros paslaugas teikė UAB ,,TEEKO </w:t>
      </w:r>
      <w:r w:rsidRPr="005D13BC">
        <w:lastRenderedPageBreak/>
        <w:t>consulting“. Projekto tikslas – užtikrinti kokybišką ir nepertraukiamą šiluminės energijos gamybą Rietavo miesto šilumos vartotojams.</w:t>
      </w:r>
    </w:p>
    <w:p w:rsidR="00FB46F1" w:rsidRPr="00FB46F1" w:rsidRDefault="00FB46F1" w:rsidP="00FB46F1">
      <w:pPr>
        <w:pStyle w:val="prastasistinklapis"/>
        <w:rPr>
          <w:rFonts w:ascii="Times New Roman" w:hAnsi="Times New Roman" w:cs="Times New Roman"/>
          <w:sz w:val="24"/>
          <w:szCs w:val="24"/>
        </w:rPr>
      </w:pPr>
      <w:r>
        <w:rPr>
          <w:rFonts w:ascii="Times New Roman" w:hAnsi="Times New Roman" w:cs="Times New Roman"/>
          <w:b/>
          <w:sz w:val="24"/>
          <w:szCs w:val="24"/>
        </w:rPr>
        <w:t xml:space="preserve">                 </w:t>
      </w:r>
      <w:r w:rsidRPr="00FB46F1">
        <w:rPr>
          <w:rFonts w:ascii="Times New Roman" w:hAnsi="Times New Roman" w:cs="Times New Roman"/>
          <w:b/>
          <w:sz w:val="24"/>
          <w:szCs w:val="24"/>
        </w:rPr>
        <w:t>2016 M</w:t>
      </w:r>
      <w:r w:rsidR="004F7BA8">
        <w:rPr>
          <w:rFonts w:ascii="Times New Roman" w:hAnsi="Times New Roman" w:cs="Times New Roman"/>
          <w:b/>
          <w:sz w:val="24"/>
          <w:szCs w:val="24"/>
        </w:rPr>
        <w:t>.</w:t>
      </w:r>
      <w:r w:rsidRPr="00FB46F1">
        <w:rPr>
          <w:rFonts w:ascii="Times New Roman" w:hAnsi="Times New Roman" w:cs="Times New Roman"/>
          <w:b/>
          <w:sz w:val="24"/>
          <w:szCs w:val="24"/>
        </w:rPr>
        <w:t xml:space="preserve"> TĘSIAMI PROJEKTAI:</w:t>
      </w:r>
    </w:p>
    <w:p w:rsidR="00FB46F1" w:rsidRDefault="00FB46F1" w:rsidP="006D327D">
      <w:pPr>
        <w:ind w:firstLine="0"/>
        <w:jc w:val="left"/>
      </w:pPr>
      <w:r w:rsidRPr="00FB46F1">
        <w:t xml:space="preserve">        </w:t>
      </w:r>
      <w:r w:rsidRPr="00FB46F1">
        <w:rPr>
          <w:b/>
        </w:rPr>
        <w:t>Projektas ,,Rietavo miesto pėsčiųjų ir dviračių tako Rietavo Oginskių kultūros istorijos muziejaus valdomo Rietavo dvaro teritorijoje įrengimas“.</w:t>
      </w:r>
      <w:r>
        <w:t xml:space="preserve"> </w:t>
      </w:r>
      <w:r w:rsidRPr="00263842">
        <w:t xml:space="preserve">Projektas finansuojamas Kelių priežiūros ir plėtros programos  </w:t>
      </w:r>
      <w:r>
        <w:t xml:space="preserve">tikslinėmis </w:t>
      </w:r>
      <w:r w:rsidRPr="00263842">
        <w:t>lėšomis.</w:t>
      </w:r>
      <w:r>
        <w:t xml:space="preserve"> Darbus vykdo UAB ,,Plungės Jonis-S“,</w:t>
      </w:r>
      <w:r w:rsidRPr="00AD2446">
        <w:t xml:space="preserve"> darbų techninę priežiūrą </w:t>
      </w:r>
      <w:r>
        <w:t xml:space="preserve">atlieka </w:t>
      </w:r>
      <w:r w:rsidRPr="00AD2446">
        <w:t>UAB „Statybų techninė priežiūra“.</w:t>
      </w:r>
      <w:r>
        <w:t xml:space="preserve"> Rangos darbų sutarties vertė </w:t>
      </w:r>
      <w:r w:rsidR="004F7BA8">
        <w:t xml:space="preserve">– </w:t>
      </w:r>
      <w:r>
        <w:t>165406 Eur. Šiemet  atlikta statybos darbų už 100399 Eur. Projekto tikslas – Rietavo mieste įrengti saugų  pėsčiųjų ir dviračių taką</w:t>
      </w:r>
      <w:r w:rsidR="004F7BA8">
        <w:t>,</w:t>
      </w:r>
      <w:r>
        <w:t xml:space="preserve"> sujungiantį  Budrikių</w:t>
      </w:r>
      <w:r w:rsidRPr="00257A8A">
        <w:t xml:space="preserve"> </w:t>
      </w:r>
      <w:r>
        <w:t>ir</w:t>
      </w:r>
      <w:r w:rsidRPr="00257A8A">
        <w:t xml:space="preserve"> </w:t>
      </w:r>
      <w:r>
        <w:t>Pelaičių gyvenviečių dviračių ir pėsčiųjų takus.</w:t>
      </w:r>
    </w:p>
    <w:p w:rsidR="00FB46F1" w:rsidRDefault="00FB46F1" w:rsidP="006D327D">
      <w:pPr>
        <w:jc w:val="left"/>
        <w:rPr>
          <w:u w:val="single"/>
        </w:rPr>
      </w:pPr>
    </w:p>
    <w:p w:rsidR="00FB46F1" w:rsidRDefault="00FB46F1" w:rsidP="006D327D">
      <w:pPr>
        <w:jc w:val="left"/>
      </w:pPr>
    </w:p>
    <w:p w:rsidR="00FB46F1" w:rsidRDefault="00FB46F1" w:rsidP="006D327D">
      <w:pPr>
        <w:ind w:firstLine="0"/>
        <w:jc w:val="left"/>
      </w:pPr>
      <w:r>
        <w:rPr>
          <w:b/>
        </w:rPr>
        <w:t xml:space="preserve">          </w:t>
      </w:r>
      <w:r w:rsidRPr="00FB46F1">
        <w:rPr>
          <w:b/>
        </w:rPr>
        <w:t>Projektas „Rietavo Lauryno Ivinskio gimnazijos Rietave, Daržų g. 1, sporto salės priestato statyba“.</w:t>
      </w:r>
      <w:r>
        <w:t xml:space="preserve"> Projekto biudžetas </w:t>
      </w:r>
      <w:r w:rsidRPr="00662231">
        <w:t xml:space="preserve">– </w:t>
      </w:r>
      <w:r>
        <w:t xml:space="preserve">2793606 Eur. </w:t>
      </w:r>
      <w:r>
        <w:rPr>
          <w:color w:val="000000"/>
        </w:rPr>
        <w:t xml:space="preserve">Projektas finansuojamas Valstybės investicijų programos  lėšomis. </w:t>
      </w:r>
      <w:r w:rsidRPr="00AB06A2">
        <w:rPr>
          <w:color w:val="000000"/>
        </w:rPr>
        <w:t>Proj</w:t>
      </w:r>
      <w:r>
        <w:rPr>
          <w:color w:val="000000"/>
        </w:rPr>
        <w:t>ekto įgyvendinimo pradžia – 2008-03-18</w:t>
      </w:r>
      <w:r w:rsidRPr="00AB06A2">
        <w:rPr>
          <w:color w:val="000000"/>
        </w:rPr>
        <w:t>.</w:t>
      </w:r>
      <w:r w:rsidRPr="00AB06A2">
        <w:rPr>
          <w:b/>
          <w:color w:val="000000"/>
        </w:rPr>
        <w:t xml:space="preserve"> </w:t>
      </w:r>
      <w:r>
        <w:t xml:space="preserve">Dėl nepakankamo finansavimo statyba tęsiasi iki šiol. 2015 metais objekto rangos darbų konkursą laimėjo UAB ,,Stamela“. </w:t>
      </w:r>
      <w:r w:rsidR="004F7BA8">
        <w:t xml:space="preserve">Rangos darbų sutarties vertė – </w:t>
      </w:r>
      <w:r>
        <w:t xml:space="preserve">2060306,49 Eur. Šiemet  atlikta statybos darbų už 490037 Eur. </w:t>
      </w:r>
      <w:r w:rsidRPr="005D13BC">
        <w:t>Statybos techninę priežiūr</w:t>
      </w:r>
      <w:r>
        <w:t>ą</w:t>
      </w:r>
      <w:r w:rsidRPr="005D13BC">
        <w:t xml:space="preserve"> </w:t>
      </w:r>
      <w:r>
        <w:t>atlieka</w:t>
      </w:r>
      <w:r w:rsidRPr="005D13BC">
        <w:t xml:space="preserve"> UAB ,,</w:t>
      </w:r>
      <w:r>
        <w:t>Inžinerinė mintis“. Projekto vykdymo priežiūrą vykdo UAB ,,Simper“.</w:t>
      </w:r>
    </w:p>
    <w:p w:rsidR="00FB46F1" w:rsidRDefault="00FB46F1" w:rsidP="006D327D">
      <w:pPr>
        <w:jc w:val="left"/>
      </w:pPr>
    </w:p>
    <w:p w:rsidR="00FB46F1" w:rsidRDefault="00FB46F1" w:rsidP="006D327D">
      <w:pPr>
        <w:ind w:firstLine="0"/>
        <w:jc w:val="left"/>
      </w:pPr>
      <w:r>
        <w:rPr>
          <w:b/>
          <w:bCs/>
        </w:rPr>
        <w:t xml:space="preserve">           </w:t>
      </w:r>
      <w:r w:rsidRPr="00FB46F1">
        <w:rPr>
          <w:b/>
          <w:bCs/>
        </w:rPr>
        <w:t>Projektas ,,</w:t>
      </w:r>
      <w:r w:rsidRPr="00FB46F1">
        <w:rPr>
          <w:b/>
        </w:rPr>
        <w:t>Rietavo miesto vietinės reikšmės kelio Nr. RT0223 Drobstų pramoninėje zonoje rekonstrukcija“.</w:t>
      </w:r>
      <w:r>
        <w:t xml:space="preserve"> </w:t>
      </w:r>
      <w:r>
        <w:rPr>
          <w:bCs/>
        </w:rPr>
        <w:t xml:space="preserve"> </w:t>
      </w:r>
      <w:r>
        <w:t xml:space="preserve">Projekto biudžetas </w:t>
      </w:r>
      <w:r w:rsidRPr="00662231">
        <w:t xml:space="preserve">– </w:t>
      </w:r>
      <w:r>
        <w:t xml:space="preserve">370732 Eur. </w:t>
      </w:r>
      <w:r>
        <w:rPr>
          <w:bCs/>
        </w:rPr>
        <w:t xml:space="preserve">Kelio Nr. </w:t>
      </w:r>
      <w:r>
        <w:t>RT0223 (Rietavo miesto Pramonės gatvė) rekonstrukcijos darbus vykdo UAB „Žemkasa“, darbų techninę priežiūrą atlieka UAB „Inžinerinė mintis“.</w:t>
      </w:r>
      <w:r w:rsidRPr="00D13747">
        <w:t xml:space="preserve"> Projekto vykdymo priežiūrą vykdo</w:t>
      </w:r>
      <w:r>
        <w:t xml:space="preserve"> UAB ,,Patvanka“.</w:t>
      </w:r>
      <w:r w:rsidRPr="00B77D91">
        <w:t xml:space="preserve"> </w:t>
      </w:r>
      <w:r>
        <w:t>Nuo rekonstrukcijos pradžios atlikta darbų už 138559 Eur. 2015 metais atlikta darbų už 50000 Eur. Darbus planuojama baigti 2016 metais.</w:t>
      </w:r>
    </w:p>
    <w:p w:rsidR="00FB46F1" w:rsidRDefault="00FB46F1" w:rsidP="006D327D">
      <w:pPr>
        <w:jc w:val="left"/>
        <w:rPr>
          <w:b/>
          <w:color w:val="FF0000"/>
        </w:rPr>
      </w:pPr>
    </w:p>
    <w:p w:rsidR="00FB46F1" w:rsidRDefault="00FB46F1" w:rsidP="006D327D">
      <w:pPr>
        <w:ind w:firstLine="0"/>
        <w:jc w:val="left"/>
      </w:pPr>
      <w:r>
        <w:rPr>
          <w:b/>
        </w:rPr>
        <w:t xml:space="preserve">             </w:t>
      </w:r>
      <w:r w:rsidRPr="00FB46F1">
        <w:rPr>
          <w:b/>
        </w:rPr>
        <w:t>Projektas ,,Rietavo miesto L.</w:t>
      </w:r>
      <w:r w:rsidR="004F7BA8">
        <w:rPr>
          <w:b/>
        </w:rPr>
        <w:t xml:space="preserve"> </w:t>
      </w:r>
      <w:r w:rsidRPr="00FB46F1">
        <w:rPr>
          <w:b/>
        </w:rPr>
        <w:t>Ivinskio g. nuo PK00+00 iki PK02+00 rekonstrukcija“.</w:t>
      </w:r>
      <w:r w:rsidRPr="00FC553A">
        <w:t xml:space="preserve"> </w:t>
      </w:r>
      <w:r w:rsidRPr="00263842">
        <w:t>Projektas finansuojamas Kelių priežiūros ir plėtros programos  lėšomis.</w:t>
      </w:r>
      <w:r>
        <w:t xml:space="preserve"> Darbus vykdo UAB ,,Plungės Jonis-S“. Rangos darbų sutarties vertė </w:t>
      </w:r>
      <w:r w:rsidR="004F7BA8">
        <w:t xml:space="preserve">– </w:t>
      </w:r>
      <w:r>
        <w:t xml:space="preserve">147985 Eur. Šiemet  atlikta statybos darbų už 67428 Eur. </w:t>
      </w:r>
      <w:r w:rsidRPr="00D13747">
        <w:t>Darbus planuojama baigti 2016 metais.</w:t>
      </w:r>
      <w:r>
        <w:t xml:space="preserve"> Projekto tikslas – sutvarkyti Rietavo parko prieigas</w:t>
      </w:r>
      <w:r w:rsidR="004F7BA8">
        <w:t>,</w:t>
      </w:r>
      <w:r>
        <w:t xml:space="preserve"> įrengiant natūralaus skaldyto akmens trinkelių dangą</w:t>
      </w:r>
      <w:r w:rsidRPr="00067539">
        <w:t xml:space="preserve"> </w:t>
      </w:r>
      <w:r>
        <w:t>L. Ivinskio gatvėje.</w:t>
      </w:r>
    </w:p>
    <w:p w:rsidR="00FB46F1" w:rsidRDefault="00FB46F1" w:rsidP="006D327D">
      <w:pPr>
        <w:jc w:val="left"/>
        <w:rPr>
          <w:b/>
          <w:color w:val="FF0000"/>
        </w:rPr>
      </w:pPr>
    </w:p>
    <w:p w:rsidR="00FB46F1" w:rsidRPr="00F90F9D" w:rsidRDefault="00FB46F1" w:rsidP="006D327D">
      <w:pPr>
        <w:ind w:firstLine="0"/>
        <w:jc w:val="left"/>
        <w:rPr>
          <w:color w:val="000000"/>
        </w:rPr>
      </w:pPr>
      <w:r>
        <w:rPr>
          <w:b/>
          <w:color w:val="000000"/>
        </w:rPr>
        <w:t xml:space="preserve">              </w:t>
      </w:r>
      <w:r w:rsidRPr="00FB46F1">
        <w:rPr>
          <w:b/>
          <w:color w:val="000000"/>
        </w:rPr>
        <w:t>Projektas „Rietavo savivaldybės pastato Parko g. 10, Rietave, renovacija“</w:t>
      </w:r>
      <w:r w:rsidR="004F7BA8">
        <w:rPr>
          <w:b/>
          <w:color w:val="000000"/>
        </w:rPr>
        <w:t>,</w:t>
      </w:r>
      <w:r w:rsidRPr="00FB46F1">
        <w:rPr>
          <w:b/>
          <w:color w:val="000000"/>
        </w:rPr>
        <w:t xml:space="preserve"> VP3-3.4-ŪM-04-R-81-010.</w:t>
      </w:r>
      <w:r w:rsidRPr="00FC553A">
        <w:rPr>
          <w:color w:val="000000"/>
        </w:rPr>
        <w:t xml:space="preserve"> </w:t>
      </w:r>
      <w:r w:rsidRPr="00F90F9D">
        <w:rPr>
          <w:color w:val="000000"/>
        </w:rPr>
        <w:t xml:space="preserve">Techninį projektą parengė  UAB „Hidrostatybos projektai“. Projektas susideda iš dviejų dalių. Pirmoji dalis įgyvendinta 2014 metais.  Tai energijos išteklius taupančių priemonių įgyvendinimo darbai, kurie buvo finansuojami Sanglaudos skatinimo veiksmų programos lėšomis pagal prioritetinę priemonę </w:t>
      </w:r>
      <w:r w:rsidR="004F7BA8">
        <w:rPr>
          <w:color w:val="000000"/>
        </w:rPr>
        <w:t>„V</w:t>
      </w:r>
      <w:r w:rsidRPr="00F90F9D">
        <w:rPr>
          <w:color w:val="000000"/>
        </w:rPr>
        <w:t>iešosios paskirties pastatų renovavimas regioniniu lygiu</w:t>
      </w:r>
      <w:r w:rsidR="004F7BA8">
        <w:rPr>
          <w:color w:val="000000"/>
        </w:rPr>
        <w:t>“</w:t>
      </w:r>
      <w:r w:rsidRPr="00263842">
        <w:rPr>
          <w:color w:val="FF0000"/>
        </w:rPr>
        <w:t xml:space="preserve">. </w:t>
      </w:r>
      <w:r w:rsidRPr="00F90F9D">
        <w:rPr>
          <w:color w:val="000000"/>
        </w:rPr>
        <w:t>Šilumą taupančių priemonių rangos darbus atliko UAB „Mato ranga“. Įgyvendinus projektą</w:t>
      </w:r>
      <w:r w:rsidR="004F7BA8">
        <w:rPr>
          <w:color w:val="000000"/>
        </w:rPr>
        <w:t>,</w:t>
      </w:r>
      <w:r w:rsidRPr="00F90F9D">
        <w:rPr>
          <w:color w:val="000000"/>
        </w:rPr>
        <w:t xml:space="preserve"> atlikti  tokie darbai: renovuotas šilumos punktas ir pastato šildymo sistema, pakeisti pastato langai, suremontuotos lauko durys, apšiltintos pirmo aukšto grindys ir išorės sienos iš vidaus pusės, pakeista stogo danga įrengiant apšiltinimą.</w:t>
      </w:r>
    </w:p>
    <w:p w:rsidR="00FB46F1" w:rsidRDefault="00FB46F1" w:rsidP="006D327D">
      <w:pPr>
        <w:jc w:val="left"/>
        <w:rPr>
          <w:color w:val="000000"/>
        </w:rPr>
      </w:pPr>
      <w:r w:rsidRPr="00F90F9D">
        <w:rPr>
          <w:color w:val="000000"/>
        </w:rPr>
        <w:t xml:space="preserve">2015 metais projektui užbaigti nepavyko gauti finansavimo, todėl darbai nevyko, buvo pasiruošta viešiesiems pirkimams – paviešintos perkamų darbų techninės specifikacijos. </w:t>
      </w:r>
      <w:r>
        <w:rPr>
          <w:color w:val="000000"/>
        </w:rPr>
        <w:t xml:space="preserve">Darbus planuojame tęsti 2016 metais. </w:t>
      </w:r>
      <w:r w:rsidRPr="00F90F9D">
        <w:rPr>
          <w:color w:val="000000"/>
        </w:rPr>
        <w:t xml:space="preserve">Įgyvendinus antrąją projekto dalį pastato viduje </w:t>
      </w:r>
      <w:r>
        <w:rPr>
          <w:color w:val="000000"/>
        </w:rPr>
        <w:t xml:space="preserve">bus įrengti nauji san. mazgai, </w:t>
      </w:r>
      <w:r w:rsidRPr="00F90F9D">
        <w:rPr>
          <w:color w:val="000000"/>
        </w:rPr>
        <w:t xml:space="preserve">rekonstruotas patalpų apšvietimas, sustiprintos perdangos, atnaujintos grindys, suremontuotos vidaus patalpos ir durys, restauruoti laiptai, įrengtos pakabinamos  lubos su garsą izoliuojančiu sluoksniu. Sutvarkyta pastato aplinka ir įėjimas į pastatą. </w:t>
      </w:r>
    </w:p>
    <w:p w:rsidR="00FB46F1" w:rsidRPr="00F90F9D" w:rsidRDefault="00FB46F1" w:rsidP="00FB46F1">
      <w:pPr>
        <w:rPr>
          <w:color w:val="000000"/>
        </w:rPr>
      </w:pPr>
    </w:p>
    <w:p w:rsidR="004F7BA8" w:rsidRDefault="00FB46F1" w:rsidP="00FB46F1">
      <w:pPr>
        <w:ind w:firstLine="0"/>
        <w:jc w:val="left"/>
        <w:rPr>
          <w:u w:val="single"/>
        </w:rPr>
      </w:pPr>
      <w:r w:rsidRPr="00FB46F1">
        <w:rPr>
          <w:b/>
        </w:rPr>
        <w:t xml:space="preserve">      </w:t>
      </w:r>
      <w:r>
        <w:rPr>
          <w:b/>
        </w:rPr>
        <w:t xml:space="preserve">    </w:t>
      </w:r>
      <w:r w:rsidRPr="00FB46F1">
        <w:rPr>
          <w:b/>
        </w:rPr>
        <w:t xml:space="preserve">  Daugiabučių namų renovacija.</w:t>
      </w:r>
      <w:r>
        <w:rPr>
          <w:u w:val="single"/>
        </w:rPr>
        <w:t xml:space="preserve"> </w:t>
      </w:r>
    </w:p>
    <w:p w:rsidR="00FB46F1" w:rsidRPr="003F4A8B" w:rsidRDefault="004F7BA8" w:rsidP="00FB46F1">
      <w:pPr>
        <w:ind w:firstLine="0"/>
        <w:jc w:val="left"/>
        <w:rPr>
          <w:color w:val="000000"/>
        </w:rPr>
      </w:pPr>
      <w:r>
        <w:lastRenderedPageBreak/>
        <w:t xml:space="preserve">            </w:t>
      </w:r>
      <w:r w:rsidR="00FB46F1" w:rsidRPr="003F4A8B">
        <w:rPr>
          <w:color w:val="000000"/>
        </w:rPr>
        <w:t xml:space="preserve">2013 metais Rietavo miesto daugiabučių namų Daržų g. 30, </w:t>
      </w:r>
      <w:r w:rsidR="00FB46F1" w:rsidRPr="00FC553A">
        <w:rPr>
          <w:color w:val="000000"/>
        </w:rPr>
        <w:t>Žemaitės g. 7, Daržų g. 34, Daržų g. 26, Parko g. 1, Žemaitės g. 4, Daržų g. 24</w:t>
      </w:r>
      <w:r w:rsidR="00FB46F1" w:rsidRPr="003F4A8B">
        <w:rPr>
          <w:color w:val="000000"/>
        </w:rPr>
        <w:t>, Daržų g. 32, Ramybės g. 15, Plungės g. 16, Parko g. 3, Daržų g. 5, Daržų g. 7 butų savininkai apsisprendė atnaujinti savo pastatus</w:t>
      </w:r>
      <w:r>
        <w:rPr>
          <w:color w:val="000000"/>
        </w:rPr>
        <w:t>,</w:t>
      </w:r>
      <w:r w:rsidR="00FB46F1" w:rsidRPr="003F4A8B">
        <w:rPr>
          <w:color w:val="000000"/>
        </w:rPr>
        <w:t xml:space="preserve"> pareikšdami norą gauti valstybės paramą dalyvaudami projekte ,,Daugiabučių namų modernizavimo skatinimas, II etapas“.  Projektui įgyvendinti Rietavo savivaldybės tarybos 2013-09-19 sprendimu buvo patvirtinta Energinio efektyvumo didinimo daugiabučiuose namuose programa. Savivaldybės administracija  organizavo investici</w:t>
      </w:r>
      <w:r>
        <w:rPr>
          <w:color w:val="000000"/>
        </w:rPr>
        <w:t>ni</w:t>
      </w:r>
      <w:r w:rsidR="00FB46F1" w:rsidRPr="003F4A8B">
        <w:rPr>
          <w:color w:val="000000"/>
        </w:rPr>
        <w:t xml:space="preserve">ų planų parengimą, o rengimo išlaidas apmokėjo </w:t>
      </w:r>
      <w:r w:rsidR="00FB46F1">
        <w:rPr>
          <w:color w:val="000000"/>
        </w:rPr>
        <w:t>Būsto energijos taupymo agentūra (</w:t>
      </w:r>
      <w:r w:rsidR="00FB46F1" w:rsidRPr="003F4A8B">
        <w:rPr>
          <w:color w:val="000000"/>
        </w:rPr>
        <w:t>BETA</w:t>
      </w:r>
      <w:r w:rsidR="00FB46F1">
        <w:rPr>
          <w:color w:val="000000"/>
        </w:rPr>
        <w:t>)</w:t>
      </w:r>
      <w:r w:rsidR="00FB46F1" w:rsidRPr="003F4A8B">
        <w:rPr>
          <w:color w:val="000000"/>
        </w:rPr>
        <w:t xml:space="preserve">. </w:t>
      </w:r>
      <w:r w:rsidR="00FB46F1">
        <w:rPr>
          <w:color w:val="000000"/>
        </w:rPr>
        <w:t>3 daugiabučių savininkai persigalvojo ir atsisakė dalyvauti reno</w:t>
      </w:r>
      <w:r>
        <w:rPr>
          <w:color w:val="000000"/>
        </w:rPr>
        <w:t xml:space="preserve">vacijos programoje. Programoje </w:t>
      </w:r>
      <w:r w:rsidR="00FB46F1">
        <w:rPr>
          <w:color w:val="000000"/>
        </w:rPr>
        <w:t>likusių</w:t>
      </w:r>
      <w:r w:rsidR="00FB46F1" w:rsidRPr="003F4A8B">
        <w:rPr>
          <w:color w:val="000000"/>
        </w:rPr>
        <w:t xml:space="preserve"> projektų įgyvendinimo darbai pavesti Rietavo savivaldybės Energinio efektyvumo didinimo programos  administratoriui </w:t>
      </w:r>
      <w:r>
        <w:rPr>
          <w:color w:val="000000"/>
        </w:rPr>
        <w:t xml:space="preserve">– </w:t>
      </w:r>
      <w:r w:rsidR="00FB46F1" w:rsidRPr="003F4A8B">
        <w:rPr>
          <w:color w:val="000000"/>
        </w:rPr>
        <w:t xml:space="preserve">UAB ,,Rietavo komunalinis ūkis“. Šiuo metu 2 daugiabučiai yra renovuoti, o  7 daugiabučiuose renovacija tęsiama. </w:t>
      </w:r>
    </w:p>
    <w:p w:rsidR="00FB46F1" w:rsidRPr="001B1823" w:rsidRDefault="00FB46F1" w:rsidP="00FB46F1">
      <w:pPr>
        <w:rPr>
          <w:b/>
          <w:color w:val="FF0000"/>
        </w:rPr>
      </w:pPr>
    </w:p>
    <w:p w:rsidR="00FB46F1" w:rsidRPr="00043F24" w:rsidRDefault="00FB46F1" w:rsidP="00FB46F1">
      <w:pPr>
        <w:jc w:val="center"/>
        <w:rPr>
          <w:b/>
        </w:rPr>
      </w:pPr>
      <w:r>
        <w:rPr>
          <w:b/>
        </w:rPr>
        <w:t>Rietavo s</w:t>
      </w:r>
      <w:r w:rsidRPr="00043F24">
        <w:rPr>
          <w:b/>
        </w:rPr>
        <w:t>avivaldybės vietinės reikšmės kelių priežiūra ir</w:t>
      </w:r>
      <w:r w:rsidRPr="003D2A55">
        <w:rPr>
          <w:b/>
        </w:rPr>
        <w:t xml:space="preserve"> </w:t>
      </w:r>
      <w:r w:rsidRPr="00043F24">
        <w:rPr>
          <w:b/>
        </w:rPr>
        <w:t>plėtra</w:t>
      </w:r>
    </w:p>
    <w:p w:rsidR="00FB46F1" w:rsidRDefault="00FB46F1" w:rsidP="00FB46F1">
      <w:pPr>
        <w:rPr>
          <w:color w:val="FF0000"/>
        </w:rPr>
      </w:pPr>
    </w:p>
    <w:p w:rsidR="00FB46F1" w:rsidRDefault="00FB46F1" w:rsidP="006D327D">
      <w:pPr>
        <w:ind w:firstLine="0"/>
        <w:jc w:val="left"/>
      </w:pPr>
      <w:r>
        <w:t xml:space="preserve">          </w:t>
      </w:r>
      <w:r w:rsidRPr="00D13747">
        <w:t>Rietavo savivaldybei 2015 m. iš Kelių priežiūros ir plėtros programos buvo skirta 642742 Eur. Lietuvos automobilių kelių direkcijos prie Susisiekimo ministerijos generalinio direktoriaus 2015 m. vasario 26 d. įsakymu Nr. V(E)-3 „Dėl Kelių priežiūros ir plėtros programos lėšų vietinės reikšmės keliams ir gatvėms tiesti, rekonstruoti, taisyti (remontuoti), prižiūrėti ir saugaus eismo sąlygoms užtikrinti paskirstymo savivaldybėms 2015 metais“ skirta 342 403 Eur. Lietuvos Respublikos susisiekimo ministro 2015 m. balandžio 1 d. įsakymu Nr. 3-127(1.5 E) „Dėl Vietinės reikšmės kelių (gatvių) tikslinio finansavimo 2015 metų sąrašo patvirtinimo“ 8.3 punktu skirta 300 339 Eur.</w:t>
      </w:r>
      <w:r>
        <w:t xml:space="preserve"> </w:t>
      </w:r>
      <w:r w:rsidRPr="003D2A55">
        <w:t xml:space="preserve">Savivaldybės administracija su Lietuvos automobilių kelių direkcija prie Susisiekimo ministerijos sudarė finansavimo sutartis, parengė objektų sąrašus. </w:t>
      </w:r>
    </w:p>
    <w:p w:rsidR="00FB46F1" w:rsidRDefault="00FB46F1" w:rsidP="006D327D">
      <w:pPr>
        <w:ind w:firstLine="0"/>
        <w:jc w:val="left"/>
      </w:pPr>
      <w:r>
        <w:t xml:space="preserve">           </w:t>
      </w:r>
      <w:r w:rsidRPr="003D2A55">
        <w:t>Darbams atlikti buvo skelbiami konkursai</w:t>
      </w:r>
      <w:r w:rsidR="004F7BA8">
        <w:t>,</w:t>
      </w:r>
      <w:r w:rsidRPr="003D2A55">
        <w:t xml:space="preserve"> su konkursų laimėtojais sudarytos sutartys. UAB „Plungės lagūna“ vykdė sniego valymo, greideriavimo, kelraščių skutimo, griovių valymo, žvyravimo išdaužų vietose ir pralaidų remonto ir įrengimo darbus. I</w:t>
      </w:r>
      <w:r>
        <w:t xml:space="preserve">š viso UAB „Plungės lagūna“ 2015 </w:t>
      </w:r>
      <w:r w:rsidRPr="003D2A55">
        <w:t xml:space="preserve">m. pagal sutartį </w:t>
      </w:r>
      <w:r w:rsidR="004F7BA8">
        <w:t xml:space="preserve">Nr. </w:t>
      </w:r>
      <w:r w:rsidRPr="003D2A55">
        <w:t xml:space="preserve">R8-8 atliko darbų už 94 299,95 Eur. </w:t>
      </w:r>
    </w:p>
    <w:p w:rsidR="00FB46F1" w:rsidRDefault="00FB46F1" w:rsidP="006D327D">
      <w:pPr>
        <w:ind w:firstLine="0"/>
        <w:jc w:val="left"/>
        <w:rPr>
          <w:color w:val="C0504D"/>
        </w:rPr>
      </w:pPr>
      <w:r>
        <w:t xml:space="preserve">           </w:t>
      </w:r>
      <w:r w:rsidRPr="003D2A55">
        <w:t>Vietinės reikšmės kelių ir gatvių su asfalto danga priežiūros ir remonto darbus vykdė UAB „Sauslaukio statyba“. Ji atliko darbų už 56 530,73 Eur. UAB „Sauslaukio statyba“ vykdė seniūnijų gatvių su asfalto danga duobių remonto darbus ir Rietavo miesto gatvių ženklinimo darbus.</w:t>
      </w:r>
      <w:r w:rsidRPr="00894D0F">
        <w:rPr>
          <w:color w:val="C0504D"/>
        </w:rPr>
        <w:t xml:space="preserve"> </w:t>
      </w:r>
      <w:r>
        <w:rPr>
          <w:color w:val="C0504D"/>
        </w:rPr>
        <w:t xml:space="preserve">        </w:t>
      </w:r>
    </w:p>
    <w:p w:rsidR="00FB46F1" w:rsidRPr="003F57CF" w:rsidRDefault="00FB46F1" w:rsidP="006D327D">
      <w:pPr>
        <w:ind w:firstLine="0"/>
        <w:jc w:val="left"/>
      </w:pPr>
      <w:r>
        <w:t xml:space="preserve">           </w:t>
      </w:r>
      <w:r w:rsidRPr="003F57CF">
        <w:t xml:space="preserve">Pagal 2015 m. sutartį </w:t>
      </w:r>
      <w:r w:rsidR="004F7BA8">
        <w:t xml:space="preserve">Nr. </w:t>
      </w:r>
      <w:r w:rsidRPr="003F57CF">
        <w:t>R8-94 UAB „Mato ranga“ atliko Rietavo Oginskių dvaro sodybos parko</w:t>
      </w:r>
      <w:r>
        <w:t xml:space="preserve"> pėsčiųjų </w:t>
      </w:r>
      <w:r w:rsidRPr="003F57CF">
        <w:t xml:space="preserve"> tiltų remonto darb</w:t>
      </w:r>
      <w:r w:rsidR="004F7BA8">
        <w:t>ų</w:t>
      </w:r>
      <w:r w:rsidRPr="003F57CF">
        <w:t xml:space="preserve"> už 13 302,58 Eur.</w:t>
      </w:r>
    </w:p>
    <w:p w:rsidR="00FB46F1" w:rsidRPr="003F57CF" w:rsidRDefault="00FB46F1" w:rsidP="006D327D">
      <w:pPr>
        <w:ind w:firstLine="0"/>
        <w:jc w:val="left"/>
      </w:pPr>
      <w:r>
        <w:t xml:space="preserve">           </w:t>
      </w:r>
      <w:r w:rsidRPr="003F57CF">
        <w:t xml:space="preserve"> UAB „VVARFF“ atliko Rietavo miesto S. N</w:t>
      </w:r>
      <w:r w:rsidR="004F7BA8">
        <w:t>ė</w:t>
      </w:r>
      <w:r w:rsidRPr="003F57CF">
        <w:t>ries gatvės asfalto dangos remonto darb</w:t>
      </w:r>
      <w:r w:rsidR="004F7BA8">
        <w:t>ų</w:t>
      </w:r>
      <w:r w:rsidRPr="003F57CF">
        <w:t xml:space="preserve"> už 4346,33 Eur, Paupio gatvės asfalto dangos remonto darb</w:t>
      </w:r>
      <w:r w:rsidR="004F7BA8">
        <w:t>ų</w:t>
      </w:r>
      <w:r w:rsidRPr="003F57CF">
        <w:t xml:space="preserve"> </w:t>
      </w:r>
      <w:r w:rsidR="004F7BA8">
        <w:t xml:space="preserve">– </w:t>
      </w:r>
      <w:r w:rsidRPr="003F57CF">
        <w:t>už 2 005,27 Eur, gatvės RT7143 (Rietavo miestoVatušių g.) asfalto dangos remonto darb</w:t>
      </w:r>
      <w:r w:rsidR="004F7BA8">
        <w:t xml:space="preserve">ų – </w:t>
      </w:r>
      <w:r w:rsidRPr="003F57CF">
        <w:t>už 8543,94 Eur, Rietavo seniūnijos kelio RT0204 (Rietavo sen. Kvėdarnos gatvė) kapitalinio remonto darb</w:t>
      </w:r>
      <w:r w:rsidR="004F7BA8">
        <w:t xml:space="preserve">ų – </w:t>
      </w:r>
      <w:r w:rsidRPr="003F57CF">
        <w:t>už 15 740,61 Eur, Tverų seniūnijos Pavasario gatvės kapitalinio remonto darb</w:t>
      </w:r>
      <w:r w:rsidR="004F7BA8">
        <w:t>ų –</w:t>
      </w:r>
      <w:r w:rsidRPr="003F57CF">
        <w:t xml:space="preserve"> už 13 693,56 Eur, Medingėnų seniūnijos Šatrijos Raganos gatvės pėsčiųjų tako remonto darb</w:t>
      </w:r>
      <w:r w:rsidR="004F7BA8">
        <w:t>ų –</w:t>
      </w:r>
      <w:r w:rsidRPr="003F57CF">
        <w:t xml:space="preserve"> už 2 521,16 Eur, Daugėdų seniūnijos Miško gatvės pėsčiųjų tako remonto darb</w:t>
      </w:r>
      <w:r w:rsidR="004F7BA8">
        <w:t>ų –</w:t>
      </w:r>
      <w:r w:rsidRPr="003F57CF">
        <w:t xml:space="preserve"> už 3 076,32 Eur.</w:t>
      </w:r>
    </w:p>
    <w:p w:rsidR="00FB46F1" w:rsidRPr="00AD2446" w:rsidRDefault="00FB46F1" w:rsidP="006D327D">
      <w:pPr>
        <w:ind w:firstLine="0"/>
        <w:jc w:val="left"/>
      </w:pPr>
      <w:r>
        <w:t xml:space="preserve">           </w:t>
      </w:r>
      <w:r w:rsidRPr="00AD2446">
        <w:t xml:space="preserve"> UAB „Costruction trade“ atliko Rietavo miesto asfalto dangos plyšių ir siūlių su defektais taisymo darb</w:t>
      </w:r>
      <w:r w:rsidR="004F7BA8">
        <w:t>ų</w:t>
      </w:r>
      <w:r w:rsidRPr="00AD2446">
        <w:t xml:space="preserve"> už 2 589,40 Eur. UAB „Vakarų geodezija“ atliko vietinės reikšmės kelių inventorinių bylų parengimo darb</w:t>
      </w:r>
      <w:r w:rsidR="004F7BA8">
        <w:t>ų</w:t>
      </w:r>
      <w:r w:rsidRPr="00AD2446">
        <w:t xml:space="preserve"> už 1210,00 Eur. </w:t>
      </w:r>
      <w:r>
        <w:t xml:space="preserve">Inventorizuotų kelių  ilgis </w:t>
      </w:r>
      <w:r w:rsidR="004F7BA8">
        <w:t xml:space="preserve">– </w:t>
      </w:r>
      <w:r>
        <w:t xml:space="preserve">6600 m. </w:t>
      </w:r>
      <w:r w:rsidRPr="00AD2446">
        <w:t xml:space="preserve">Darbų techninę priežiūrą vykdė UAB „Statybų techninė priežiūra“. Sutarties įkainis </w:t>
      </w:r>
      <w:r w:rsidR="004F7BA8">
        <w:t xml:space="preserve">– </w:t>
      </w:r>
      <w:r w:rsidRPr="00AD2446">
        <w:t xml:space="preserve">0,79 </w:t>
      </w:r>
      <w:r w:rsidR="004F7BA8">
        <w:t>proc.</w:t>
      </w:r>
      <w:r w:rsidRPr="00AD2446">
        <w:t xml:space="preserve"> nuo atliktų statybos (remonto) darbų kainos. Suteikta paslaugų už 1 841,45 Eur. Iš Kelių priežiūros ir plėtros programos lėšų apmokėta paskolos dalis ir palūkanos (34 305 Eur) už projektą „Rietavo miesto Dariaus ir Girėno gatvės rekonstrukcija“. UAB „Plungės lagūna“ apmokėtas įsiskolinimas už 2014 m. atliktus Medingėnų seniūnijos pėsčiųjų tako remonto darbus </w:t>
      </w:r>
      <w:r w:rsidR="004F7BA8">
        <w:t xml:space="preserve">– </w:t>
      </w:r>
      <w:r w:rsidRPr="00AD2446">
        <w:t>1075,00 Eur.</w:t>
      </w:r>
    </w:p>
    <w:p w:rsidR="00FB46F1" w:rsidRPr="00AD2446" w:rsidRDefault="00FB46F1" w:rsidP="006D327D">
      <w:pPr>
        <w:ind w:firstLine="0"/>
        <w:jc w:val="left"/>
      </w:pPr>
      <w:r>
        <w:t xml:space="preserve">            </w:t>
      </w:r>
      <w:r w:rsidRPr="00AD2446">
        <w:t xml:space="preserve"> Visose seniūnijose buvo vykdomi kelių priežiūros darbai: asfaltuotose gatvėse užtaisyta 1505 kv. m duobių,</w:t>
      </w:r>
      <w:r>
        <w:t xml:space="preserve"> 200 kv. m gatvių paženklinta</w:t>
      </w:r>
      <w:r w:rsidRPr="00545716">
        <w:t xml:space="preserve"> </w:t>
      </w:r>
      <w:r>
        <w:t>horizontaliuoju ženklinimu,</w:t>
      </w:r>
      <w:r w:rsidRPr="00AD2446">
        <w:t xml:space="preserve"> žvyruotų gatvių taisymui atvežta 2726 kub. m žvyro, suremontuotos 3 pral</w:t>
      </w:r>
      <w:r>
        <w:t>aidos, nuskusta 3370 m kelkraščių, 2870 m ruože</w:t>
      </w:r>
      <w:r w:rsidRPr="00545716">
        <w:t xml:space="preserve"> </w:t>
      </w:r>
      <w:r>
        <w:t>atstatytas kelių griovio profilis.</w:t>
      </w:r>
    </w:p>
    <w:p w:rsidR="00E97ECA" w:rsidRPr="00630125" w:rsidRDefault="00FB46F1" w:rsidP="006D327D">
      <w:pPr>
        <w:ind w:firstLine="0"/>
        <w:jc w:val="left"/>
        <w:rPr>
          <w:i/>
          <w:color w:val="000000"/>
        </w:rPr>
      </w:pPr>
      <w:r>
        <w:lastRenderedPageBreak/>
        <w:t xml:space="preserve">               </w:t>
      </w:r>
      <w:r w:rsidRPr="00AD2446">
        <w:t xml:space="preserve">Iš Kelių priežiūros ir plėtros programos lėšų Daugėdų seniūnijoje atlikta darbų ir suteikta paslaugų už 11 722,56 Eur, Medingėnų seniūnijoje – </w:t>
      </w:r>
      <w:r w:rsidR="004F7BA8">
        <w:t xml:space="preserve">už </w:t>
      </w:r>
      <w:r w:rsidRPr="00AD2446">
        <w:t xml:space="preserve">19 404,85 Eur, Rietavo seniūnijoje – </w:t>
      </w:r>
      <w:r w:rsidR="004F7BA8">
        <w:t xml:space="preserve">už </w:t>
      </w:r>
      <w:r w:rsidRPr="00AD2446">
        <w:t xml:space="preserve">88 021,63 Eur, Rietavo miesto seniūnijoje – </w:t>
      </w:r>
      <w:r w:rsidR="004F7BA8">
        <w:t xml:space="preserve">už </w:t>
      </w:r>
      <w:r w:rsidRPr="00AD2446">
        <w:t xml:space="preserve">67 111,17 Eur ir Tverų seniūnijoje –  </w:t>
      </w:r>
      <w:r w:rsidR="004F7BA8">
        <w:t xml:space="preserve">už </w:t>
      </w:r>
      <w:r w:rsidRPr="00AD2446">
        <w:t xml:space="preserve">49 574,79 Eur. </w:t>
      </w:r>
      <w:r w:rsidR="004F7BA8">
        <w:t>Iš v</w:t>
      </w:r>
      <w:r w:rsidRPr="00AD2446">
        <w:t xml:space="preserve">iso pagal finansavimo sutartį S-0285 panaudota 342 352,19 Eur. Liko nepanaudota 50,81 Eur. </w:t>
      </w:r>
    </w:p>
    <w:p w:rsidR="00E97ECA" w:rsidRPr="00630125" w:rsidRDefault="00E97ECA" w:rsidP="00E97ECA">
      <w:pPr>
        <w:rPr>
          <w:i/>
        </w:rPr>
      </w:pPr>
    </w:p>
    <w:p w:rsidR="00E97ECA" w:rsidRPr="001363BF" w:rsidRDefault="00E97ECA" w:rsidP="00E97ECA">
      <w:pPr>
        <w:ind w:firstLine="0"/>
        <w:rPr>
          <w:b/>
        </w:rPr>
      </w:pPr>
      <w:r w:rsidRPr="001363BF">
        <w:rPr>
          <w:b/>
        </w:rPr>
        <w:t xml:space="preserve">                                                             ŽEMĖS ŪKIS</w:t>
      </w:r>
    </w:p>
    <w:p w:rsidR="00E97ECA" w:rsidRPr="00630125" w:rsidRDefault="00E97ECA" w:rsidP="00E97ECA">
      <w:pPr>
        <w:ind w:firstLine="0"/>
        <w:rPr>
          <w:b/>
          <w:i/>
        </w:rPr>
      </w:pPr>
    </w:p>
    <w:p w:rsidR="001363BF" w:rsidRDefault="001363BF" w:rsidP="001363BF">
      <w:pPr>
        <w:ind w:firstLine="0"/>
        <w:jc w:val="center"/>
        <w:rPr>
          <w:b/>
          <w:bCs/>
        </w:rPr>
      </w:pPr>
      <w:r>
        <w:rPr>
          <w:b/>
          <w:bCs/>
        </w:rPr>
        <w:t>Valstybinės (valstybės perduotos savivaldybėms) funkcijos</w:t>
      </w:r>
    </w:p>
    <w:p w:rsidR="001363BF" w:rsidRDefault="001363BF" w:rsidP="001363BF">
      <w:pPr>
        <w:ind w:firstLine="0"/>
        <w:jc w:val="center"/>
        <w:rPr>
          <w:b/>
          <w:bCs/>
        </w:rPr>
      </w:pPr>
    </w:p>
    <w:p w:rsidR="001363BF" w:rsidRDefault="004F7BA8" w:rsidP="006D327D">
      <w:pPr>
        <w:numPr>
          <w:ilvl w:val="0"/>
          <w:numId w:val="7"/>
        </w:numPr>
        <w:suppressAutoHyphens/>
        <w:jc w:val="left"/>
        <w:rPr>
          <w:szCs w:val="24"/>
        </w:rPr>
      </w:pPr>
      <w:r>
        <w:rPr>
          <w:szCs w:val="24"/>
        </w:rPr>
        <w:t>Ž</w:t>
      </w:r>
      <w:r w:rsidR="001363BF">
        <w:rPr>
          <w:szCs w:val="24"/>
        </w:rPr>
        <w:t>emės ūkio naudmenų ir pasėlių deklaravimo darbų administravimas;</w:t>
      </w:r>
    </w:p>
    <w:p w:rsidR="001363BF" w:rsidRDefault="001363BF" w:rsidP="006D327D">
      <w:pPr>
        <w:numPr>
          <w:ilvl w:val="0"/>
          <w:numId w:val="7"/>
        </w:numPr>
        <w:suppressAutoHyphens/>
        <w:jc w:val="left"/>
        <w:rPr>
          <w:szCs w:val="24"/>
        </w:rPr>
      </w:pPr>
      <w:r>
        <w:rPr>
          <w:szCs w:val="24"/>
        </w:rPr>
        <w:t>kaimo plėtros priemonių įgyvendinimo administravimas;</w:t>
      </w:r>
    </w:p>
    <w:p w:rsidR="001363BF" w:rsidRDefault="001363BF" w:rsidP="006D327D">
      <w:pPr>
        <w:numPr>
          <w:ilvl w:val="0"/>
          <w:numId w:val="7"/>
        </w:numPr>
        <w:suppressAutoHyphens/>
        <w:jc w:val="left"/>
        <w:rPr>
          <w:szCs w:val="24"/>
        </w:rPr>
      </w:pPr>
      <w:r>
        <w:rPr>
          <w:szCs w:val="24"/>
        </w:rPr>
        <w:t>stichinių meteorologinių reiškinių, gyvūnų užkrečiamų ligų likvidavimo ir priežiūros programų įgyvendinimas, medžiojamų gyvūnų ir griežtai saugomų laikinių gyvūnų žemės ūkiui padarytos žalos ir nuostolių nustatymas;</w:t>
      </w:r>
    </w:p>
    <w:p w:rsidR="001363BF" w:rsidRDefault="001363BF" w:rsidP="006D327D">
      <w:pPr>
        <w:numPr>
          <w:ilvl w:val="0"/>
          <w:numId w:val="7"/>
        </w:numPr>
        <w:suppressAutoHyphens/>
        <w:jc w:val="left"/>
        <w:rPr>
          <w:szCs w:val="24"/>
        </w:rPr>
      </w:pPr>
      <w:r>
        <w:rPr>
          <w:szCs w:val="24"/>
        </w:rPr>
        <w:t>žemės ūkio valdų ir ūkininkų ūkių registravimas;</w:t>
      </w:r>
    </w:p>
    <w:p w:rsidR="001363BF" w:rsidRDefault="001363BF" w:rsidP="006D327D">
      <w:pPr>
        <w:numPr>
          <w:ilvl w:val="0"/>
          <w:numId w:val="7"/>
        </w:numPr>
        <w:suppressAutoHyphens/>
        <w:jc w:val="left"/>
        <w:rPr>
          <w:szCs w:val="24"/>
        </w:rPr>
      </w:pPr>
      <w:r>
        <w:rPr>
          <w:szCs w:val="24"/>
        </w:rPr>
        <w:t>traktorių, savaeigių</w:t>
      </w:r>
      <w:r w:rsidR="004F7BA8">
        <w:rPr>
          <w:szCs w:val="24"/>
        </w:rPr>
        <w:t xml:space="preserve">, žemės ūkio mašinų </w:t>
      </w:r>
      <w:r>
        <w:rPr>
          <w:szCs w:val="24"/>
        </w:rPr>
        <w:t>i</w:t>
      </w:r>
      <w:r w:rsidR="004F7BA8">
        <w:rPr>
          <w:szCs w:val="24"/>
        </w:rPr>
        <w:t>r</w:t>
      </w:r>
      <w:r>
        <w:rPr>
          <w:szCs w:val="24"/>
        </w:rPr>
        <w:t xml:space="preserve"> jų priekabų registravimas ir techninė priežiūra;</w:t>
      </w:r>
    </w:p>
    <w:p w:rsidR="001363BF" w:rsidRDefault="001363BF" w:rsidP="006D327D">
      <w:pPr>
        <w:numPr>
          <w:ilvl w:val="0"/>
          <w:numId w:val="7"/>
        </w:numPr>
        <w:suppressAutoHyphens/>
        <w:jc w:val="left"/>
        <w:rPr>
          <w:szCs w:val="24"/>
        </w:rPr>
      </w:pPr>
      <w:r>
        <w:rPr>
          <w:szCs w:val="24"/>
        </w:rPr>
        <w:t>valstybei nuosavybės teise priklausančių melioracijos ir hidrotechnikos statinių valdymas ir naudojimas patikėjimo teise;</w:t>
      </w:r>
    </w:p>
    <w:p w:rsidR="001363BF" w:rsidRDefault="001363BF" w:rsidP="006D327D">
      <w:pPr>
        <w:numPr>
          <w:ilvl w:val="0"/>
          <w:numId w:val="7"/>
        </w:numPr>
        <w:suppressAutoHyphens/>
        <w:jc w:val="left"/>
        <w:rPr>
          <w:rFonts w:eastAsia="TimesNewRomanPSMT"/>
          <w:color w:val="000000"/>
          <w:szCs w:val="24"/>
        </w:rPr>
      </w:pPr>
      <w:r>
        <w:rPr>
          <w:szCs w:val="24"/>
        </w:rPr>
        <w:t>žemės ūkio produkcijos kvotų administravimas.</w:t>
      </w:r>
    </w:p>
    <w:p w:rsidR="001363BF" w:rsidRDefault="001363BF" w:rsidP="001363BF">
      <w:pPr>
        <w:ind w:firstLine="0"/>
        <w:rPr>
          <w:rFonts w:eastAsia="TimesNewRomanPSMT"/>
          <w:color w:val="000000"/>
          <w:szCs w:val="24"/>
        </w:rPr>
      </w:pPr>
    </w:p>
    <w:p w:rsidR="001363BF" w:rsidRDefault="001363BF" w:rsidP="001363BF">
      <w:pPr>
        <w:autoSpaceDE w:val="0"/>
        <w:rPr>
          <w:rFonts w:eastAsia="TimesNewRomanPSMT"/>
          <w:color w:val="000000"/>
          <w:szCs w:val="24"/>
        </w:rPr>
      </w:pPr>
    </w:p>
    <w:p w:rsidR="001363BF" w:rsidRDefault="001363BF" w:rsidP="001363BF">
      <w:pPr>
        <w:autoSpaceDE w:val="0"/>
        <w:jc w:val="center"/>
        <w:rPr>
          <w:rFonts w:eastAsia="TimesNewRomanPSMT"/>
          <w:b/>
          <w:color w:val="000000"/>
          <w:szCs w:val="24"/>
        </w:rPr>
      </w:pPr>
      <w:r>
        <w:rPr>
          <w:rFonts w:eastAsia="TimesNewRomanPSMT"/>
          <w:b/>
          <w:color w:val="000000"/>
          <w:szCs w:val="24"/>
        </w:rPr>
        <w:t>PASĖLIŲ DEKLARAVIMAS</w:t>
      </w:r>
    </w:p>
    <w:p w:rsidR="001363BF" w:rsidRDefault="001363BF" w:rsidP="001363BF">
      <w:pPr>
        <w:autoSpaceDE w:val="0"/>
        <w:jc w:val="center"/>
        <w:rPr>
          <w:rFonts w:eastAsia="TimesNewRomanPSMT"/>
          <w:b/>
          <w:color w:val="000000"/>
          <w:szCs w:val="24"/>
        </w:rPr>
      </w:pPr>
    </w:p>
    <w:p w:rsidR="001363BF" w:rsidRDefault="001363BF" w:rsidP="006D327D">
      <w:pPr>
        <w:numPr>
          <w:ilvl w:val="0"/>
          <w:numId w:val="7"/>
        </w:numPr>
        <w:suppressAutoHyphens/>
        <w:jc w:val="left"/>
        <w:rPr>
          <w:szCs w:val="24"/>
        </w:rPr>
      </w:pPr>
      <w:r>
        <w:rPr>
          <w:szCs w:val="24"/>
        </w:rPr>
        <w:t>Pasėlius deklaravo 1252 žemdirbiai.</w:t>
      </w:r>
    </w:p>
    <w:p w:rsidR="001363BF" w:rsidRDefault="001363BF" w:rsidP="006D327D">
      <w:pPr>
        <w:numPr>
          <w:ilvl w:val="0"/>
          <w:numId w:val="7"/>
        </w:numPr>
        <w:suppressAutoHyphens/>
        <w:jc w:val="left"/>
        <w:rPr>
          <w:szCs w:val="24"/>
        </w:rPr>
      </w:pPr>
      <w:r>
        <w:rPr>
          <w:szCs w:val="24"/>
        </w:rPr>
        <w:t>Deklaruotas 16273 ha pasėlių plotas.</w:t>
      </w:r>
    </w:p>
    <w:p w:rsidR="001363BF" w:rsidRDefault="001363BF" w:rsidP="006D327D">
      <w:pPr>
        <w:numPr>
          <w:ilvl w:val="0"/>
          <w:numId w:val="7"/>
        </w:numPr>
        <w:suppressAutoHyphens/>
        <w:jc w:val="left"/>
        <w:rPr>
          <w:szCs w:val="24"/>
        </w:rPr>
      </w:pPr>
      <w:r>
        <w:rPr>
          <w:szCs w:val="24"/>
        </w:rPr>
        <w:t>Paraiškos tiesioginėms išmokoms už pasėlius ir su plotais susijusių priemonių paramai gauti priimtos Žemės ūkio skyriuje, Daugėdų, Medingėnų, Tverų ir Rietavo seniūnijose.</w:t>
      </w:r>
    </w:p>
    <w:p w:rsidR="001363BF" w:rsidRDefault="001363BF" w:rsidP="006D327D">
      <w:pPr>
        <w:numPr>
          <w:ilvl w:val="0"/>
          <w:numId w:val="7"/>
        </w:numPr>
        <w:suppressAutoHyphens/>
        <w:jc w:val="left"/>
        <w:rPr>
          <w:szCs w:val="24"/>
        </w:rPr>
      </w:pPr>
      <w:r>
        <w:rPr>
          <w:szCs w:val="24"/>
        </w:rPr>
        <w:t>Pasėlių deklaravimas vyko elektroniniu būdu.</w:t>
      </w:r>
    </w:p>
    <w:p w:rsidR="001363BF" w:rsidRDefault="001363BF" w:rsidP="006D327D">
      <w:pPr>
        <w:numPr>
          <w:ilvl w:val="0"/>
          <w:numId w:val="7"/>
        </w:numPr>
        <w:suppressAutoHyphens/>
        <w:jc w:val="left"/>
        <w:rPr>
          <w:szCs w:val="24"/>
        </w:rPr>
      </w:pPr>
      <w:r>
        <w:rPr>
          <w:szCs w:val="24"/>
        </w:rPr>
        <w:t>Priimta paraiškų 3631,7 tūkst. Eur paramai gauti.</w:t>
      </w:r>
    </w:p>
    <w:p w:rsidR="001363BF" w:rsidRDefault="001363BF" w:rsidP="001363BF">
      <w:pPr>
        <w:ind w:firstLine="0"/>
        <w:rPr>
          <w:szCs w:val="24"/>
        </w:rPr>
      </w:pPr>
    </w:p>
    <w:p w:rsidR="001363BF" w:rsidRDefault="001363BF" w:rsidP="001363BF">
      <w:pPr>
        <w:jc w:val="center"/>
        <w:rPr>
          <w:szCs w:val="24"/>
        </w:rPr>
      </w:pPr>
      <w:r>
        <w:rPr>
          <w:b/>
          <w:szCs w:val="24"/>
        </w:rPr>
        <w:t>INFORMACIJA APIE PARAIŠKŲ SURINKIMĄ</w:t>
      </w:r>
    </w:p>
    <w:p w:rsidR="001363BF" w:rsidRDefault="001363BF" w:rsidP="001363BF">
      <w:pPr>
        <w:ind w:firstLine="0"/>
        <w:jc w:val="left"/>
        <w:rPr>
          <w:szCs w:val="24"/>
        </w:rPr>
      </w:pPr>
    </w:p>
    <w:tbl>
      <w:tblPr>
        <w:tblW w:w="0" w:type="auto"/>
        <w:tblInd w:w="-37" w:type="dxa"/>
        <w:tblLayout w:type="fixed"/>
        <w:tblCellMar>
          <w:left w:w="0" w:type="dxa"/>
          <w:right w:w="0" w:type="dxa"/>
        </w:tblCellMar>
        <w:tblLook w:val="0000"/>
      </w:tblPr>
      <w:tblGrid>
        <w:gridCol w:w="2758"/>
        <w:gridCol w:w="2291"/>
        <w:gridCol w:w="2016"/>
        <w:gridCol w:w="1645"/>
      </w:tblGrid>
      <w:tr w:rsidR="001363BF" w:rsidTr="007A56F0">
        <w:trPr>
          <w:trHeight w:val="840"/>
        </w:trPr>
        <w:tc>
          <w:tcPr>
            <w:tcW w:w="2758"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center"/>
              <w:rPr>
                <w:b/>
                <w:bCs/>
              </w:rPr>
            </w:pPr>
            <w:r>
              <w:rPr>
                <w:b/>
                <w:bCs/>
              </w:rPr>
              <w:t>Paraiškų surinkimo vieta</w:t>
            </w:r>
          </w:p>
        </w:tc>
        <w:tc>
          <w:tcPr>
            <w:tcW w:w="2291"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center"/>
              <w:rPr>
                <w:b/>
                <w:bCs/>
              </w:rPr>
            </w:pPr>
            <w:r>
              <w:rPr>
                <w:b/>
                <w:bCs/>
              </w:rPr>
              <w:t>Priimta paraiškų vnt.</w:t>
            </w:r>
          </w:p>
        </w:tc>
        <w:tc>
          <w:tcPr>
            <w:tcW w:w="2016"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center"/>
            </w:pPr>
            <w:r>
              <w:rPr>
                <w:b/>
                <w:bCs/>
              </w:rPr>
              <w:t>Įbraižyta laukų vnt.</w:t>
            </w:r>
          </w:p>
        </w:tc>
        <w:tc>
          <w:tcPr>
            <w:tcW w:w="1645"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1363BF" w:rsidRDefault="001363BF" w:rsidP="007A56F0">
            <w:pPr>
              <w:ind w:firstLine="0"/>
              <w:jc w:val="center"/>
            </w:pPr>
            <w:r>
              <w:t>Pastabos</w:t>
            </w:r>
          </w:p>
        </w:tc>
      </w:tr>
      <w:tr w:rsidR="001363BF" w:rsidTr="007A56F0">
        <w:trPr>
          <w:trHeight w:val="480"/>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pPr>
            <w:r>
              <w:t>Daugėdų seniūnija</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r>
              <w:t>89</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t>855</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r w:rsidR="001363BF" w:rsidTr="007A56F0">
        <w:trPr>
          <w:trHeight w:val="510"/>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pPr>
            <w:r>
              <w:t xml:space="preserve">Medingėnų seniūnija </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t>153</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rPr>
                <w:lang w:val="en-US"/>
              </w:rPr>
              <w:t>1008</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r w:rsidR="001363BF" w:rsidTr="007A56F0">
        <w:trPr>
          <w:trHeight w:val="465"/>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pPr>
            <w:r>
              <w:t xml:space="preserve">Tverų seniūnija </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r>
              <w:t>312</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t>2277</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r w:rsidR="001363BF" w:rsidTr="007A56F0">
        <w:trPr>
          <w:trHeight w:val="465"/>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pPr>
            <w:r>
              <w:t xml:space="preserve">Rietavo seniūnija </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r>
              <w:t>534</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t>3781</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r w:rsidR="001363BF" w:rsidTr="007A56F0">
        <w:trPr>
          <w:trHeight w:val="465"/>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pPr>
            <w:r>
              <w:t xml:space="preserve">Žemės ūkio skyrius </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r>
              <w:t>156</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t>1005</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r w:rsidR="001363BF" w:rsidTr="007A56F0">
        <w:trPr>
          <w:trHeight w:val="645"/>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pPr>
            <w:r>
              <w:t>Paraiškas teikė patys</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t>8</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rPr>
                <w:lang w:val="en-US"/>
              </w:rPr>
              <w:t>35</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r w:rsidR="001363BF" w:rsidTr="007A56F0">
        <w:trPr>
          <w:trHeight w:val="645"/>
        </w:trPr>
        <w:tc>
          <w:tcPr>
            <w:tcW w:w="2758"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b/>
                <w:bCs/>
              </w:rPr>
            </w:pPr>
            <w:r>
              <w:rPr>
                <w:b/>
                <w:bCs/>
              </w:rPr>
              <w:t>Iš viso</w:t>
            </w:r>
          </w:p>
        </w:tc>
        <w:tc>
          <w:tcPr>
            <w:tcW w:w="229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b/>
                <w:bCs/>
                <w:lang w:val="en-US"/>
              </w:rPr>
            </w:pPr>
            <w:r>
              <w:rPr>
                <w:b/>
                <w:bCs/>
              </w:rPr>
              <w:t>1252</w:t>
            </w:r>
          </w:p>
        </w:tc>
        <w:tc>
          <w:tcPr>
            <w:tcW w:w="2016"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lang w:val="en-US"/>
              </w:rPr>
            </w:pPr>
            <w:r>
              <w:rPr>
                <w:b/>
                <w:bCs/>
                <w:lang w:val="en-US"/>
              </w:rPr>
              <w:t>8955</w:t>
            </w:r>
          </w:p>
        </w:tc>
        <w:tc>
          <w:tcPr>
            <w:tcW w:w="164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r>
              <w:rPr>
                <w:lang w:val="en-US"/>
              </w:rPr>
              <w:t> </w:t>
            </w:r>
          </w:p>
        </w:tc>
      </w:tr>
    </w:tbl>
    <w:p w:rsidR="001363BF" w:rsidRDefault="001363BF" w:rsidP="001363BF">
      <w:pPr>
        <w:ind w:firstLine="0"/>
        <w:jc w:val="left"/>
        <w:rPr>
          <w:szCs w:val="24"/>
        </w:rPr>
      </w:pPr>
    </w:p>
    <w:p w:rsidR="001363BF" w:rsidRDefault="001363BF" w:rsidP="001363BF">
      <w:pPr>
        <w:ind w:firstLine="0"/>
        <w:jc w:val="left"/>
        <w:rPr>
          <w:szCs w:val="24"/>
        </w:rPr>
      </w:pPr>
    </w:p>
    <w:p w:rsidR="001363BF" w:rsidRDefault="001363BF" w:rsidP="001363BF">
      <w:pPr>
        <w:jc w:val="center"/>
      </w:pPr>
      <w:r>
        <w:rPr>
          <w:b/>
          <w:szCs w:val="24"/>
        </w:rPr>
        <w:lastRenderedPageBreak/>
        <w:t>DEKLARUOTŲ PASĖLIŲ PLOTŲ DINAMIKA</w:t>
      </w:r>
    </w:p>
    <w:p w:rsidR="001363BF" w:rsidRDefault="001363BF" w:rsidP="001363BF">
      <w:pPr>
        <w:jc w:val="center"/>
        <w:rPr>
          <w:szCs w:val="24"/>
        </w:rPr>
      </w:pPr>
      <w:r>
        <w:rPr>
          <w:noProof/>
          <w:lang w:eastAsia="lt-LT"/>
        </w:rPr>
        <w:drawing>
          <wp:anchor distT="0" distB="0" distL="0" distR="0" simplePos="0" relativeHeight="251698176" behindDoc="0" locked="0" layoutInCell="1" allowOverlap="1">
            <wp:simplePos x="0" y="0"/>
            <wp:positionH relativeFrom="column">
              <wp:align>center</wp:align>
            </wp:positionH>
            <wp:positionV relativeFrom="paragraph">
              <wp:posOffset>0</wp:posOffset>
            </wp:positionV>
            <wp:extent cx="5483225" cy="3164840"/>
            <wp:effectExtent l="19050" t="0" r="3175" b="0"/>
            <wp:wrapTopAndBottom/>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6"/>
                    <a:srcRect/>
                    <a:stretch>
                      <a:fillRect/>
                    </a:stretch>
                  </pic:blipFill>
                  <pic:spPr bwMode="auto">
                    <a:xfrm>
                      <a:off x="0" y="0"/>
                      <a:ext cx="5483225" cy="3164840"/>
                    </a:xfrm>
                    <a:prstGeom prst="rect">
                      <a:avLst/>
                    </a:prstGeom>
                    <a:solidFill>
                      <a:srgbClr val="FFFFFF"/>
                    </a:solidFill>
                    <a:ln w="9525">
                      <a:noFill/>
                      <a:miter lim="800000"/>
                      <a:headEnd/>
                      <a:tailEnd/>
                    </a:ln>
                  </pic:spPr>
                </pic:pic>
              </a:graphicData>
            </a:graphic>
          </wp:anchor>
        </w:drawing>
      </w:r>
    </w:p>
    <w:p w:rsidR="001363BF" w:rsidRDefault="001363BF" w:rsidP="001363BF">
      <w:pPr>
        <w:ind w:firstLine="0"/>
      </w:pPr>
    </w:p>
    <w:p w:rsidR="001363BF" w:rsidRDefault="001363BF" w:rsidP="001363BF">
      <w:pPr>
        <w:jc w:val="left"/>
        <w:rPr>
          <w:szCs w:val="24"/>
        </w:rPr>
      </w:pPr>
    </w:p>
    <w:p w:rsidR="001363BF" w:rsidRDefault="001363BF" w:rsidP="001363BF">
      <w:pPr>
        <w:jc w:val="center"/>
        <w:rPr>
          <w:szCs w:val="24"/>
        </w:rPr>
      </w:pPr>
      <w:r>
        <w:rPr>
          <w:b/>
          <w:szCs w:val="24"/>
        </w:rPr>
        <w:t>IŠMOKOS UŽ DEKLARUOTUS PLOTUS</w:t>
      </w:r>
    </w:p>
    <w:p w:rsidR="001363BF" w:rsidRDefault="001363BF" w:rsidP="001363BF">
      <w:pPr>
        <w:jc w:val="left"/>
        <w:rPr>
          <w:szCs w:val="24"/>
        </w:rPr>
      </w:pPr>
    </w:p>
    <w:tbl>
      <w:tblPr>
        <w:tblW w:w="0" w:type="auto"/>
        <w:tblInd w:w="-164" w:type="dxa"/>
        <w:tblLayout w:type="fixed"/>
        <w:tblCellMar>
          <w:left w:w="0" w:type="dxa"/>
          <w:right w:w="0" w:type="dxa"/>
        </w:tblCellMar>
        <w:tblLook w:val="0000"/>
      </w:tblPr>
      <w:tblGrid>
        <w:gridCol w:w="2269"/>
        <w:gridCol w:w="2013"/>
        <w:gridCol w:w="2700"/>
        <w:gridCol w:w="1855"/>
      </w:tblGrid>
      <w:tr w:rsidR="001363BF" w:rsidTr="007A56F0">
        <w:trPr>
          <w:trHeight w:val="915"/>
        </w:trPr>
        <w:tc>
          <w:tcPr>
            <w:tcW w:w="2269"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center"/>
              <w:rPr>
                <w:b/>
                <w:bCs/>
                <w:szCs w:val="24"/>
              </w:rPr>
            </w:pPr>
            <w:r>
              <w:rPr>
                <w:b/>
                <w:bCs/>
                <w:szCs w:val="24"/>
              </w:rPr>
              <w:t>Priemonės pavadinimas</w:t>
            </w:r>
          </w:p>
        </w:tc>
        <w:tc>
          <w:tcPr>
            <w:tcW w:w="2013"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center"/>
              <w:rPr>
                <w:b/>
                <w:bCs/>
                <w:szCs w:val="24"/>
              </w:rPr>
            </w:pPr>
            <w:r>
              <w:rPr>
                <w:b/>
                <w:bCs/>
                <w:szCs w:val="24"/>
              </w:rPr>
              <w:t>Surinkta paraiškų vnt.</w:t>
            </w:r>
          </w:p>
        </w:tc>
        <w:tc>
          <w:tcPr>
            <w:tcW w:w="2700"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center"/>
              <w:rPr>
                <w:b/>
                <w:bCs/>
                <w:szCs w:val="24"/>
              </w:rPr>
            </w:pPr>
            <w:r>
              <w:rPr>
                <w:b/>
                <w:bCs/>
                <w:szCs w:val="24"/>
              </w:rPr>
              <w:t>Deklaruotas plotas ha</w:t>
            </w:r>
          </w:p>
        </w:tc>
        <w:tc>
          <w:tcPr>
            <w:tcW w:w="1855"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1363BF" w:rsidRDefault="001363BF" w:rsidP="007A56F0">
            <w:pPr>
              <w:ind w:firstLine="0"/>
              <w:jc w:val="center"/>
            </w:pPr>
            <w:r>
              <w:rPr>
                <w:b/>
                <w:bCs/>
                <w:szCs w:val="24"/>
              </w:rPr>
              <w:t>Prašoma parama tūkst. Eur</w:t>
            </w:r>
          </w:p>
        </w:tc>
      </w:tr>
      <w:tr w:rsidR="001363BF" w:rsidTr="007A56F0">
        <w:trPr>
          <w:trHeight w:val="675"/>
        </w:trPr>
        <w:tc>
          <w:tcPr>
            <w:tcW w:w="2269"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rPr>
                <w:szCs w:val="24"/>
              </w:rPr>
            </w:pPr>
            <w:r>
              <w:rPr>
                <w:szCs w:val="24"/>
              </w:rPr>
              <w:t>Tiesioginės išmokos už žemės ūkio naudmenų ir pasėlių plotus</w:t>
            </w:r>
          </w:p>
        </w:tc>
        <w:tc>
          <w:tcPr>
            <w:tcW w:w="201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rPr>
                <w:szCs w:val="24"/>
              </w:rPr>
            </w:pPr>
            <w:r>
              <w:rPr>
                <w:szCs w:val="24"/>
              </w:rPr>
              <w:t>1 252</w:t>
            </w:r>
          </w:p>
        </w:tc>
        <w:tc>
          <w:tcPr>
            <w:tcW w:w="2700"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rPr>
                <w:szCs w:val="24"/>
              </w:rPr>
              <w:t>16 273</w:t>
            </w:r>
          </w:p>
        </w:tc>
        <w:tc>
          <w:tcPr>
            <w:tcW w:w="185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2213,8</w:t>
            </w:r>
          </w:p>
        </w:tc>
      </w:tr>
      <w:tr w:rsidR="001363BF" w:rsidTr="007A56F0">
        <w:trPr>
          <w:trHeight w:val="675"/>
        </w:trPr>
        <w:tc>
          <w:tcPr>
            <w:tcW w:w="2269" w:type="dxa"/>
            <w:tcBorders>
              <w:left w:val="single" w:sz="4" w:space="0" w:color="000000"/>
              <w:bottom w:val="single" w:sz="4" w:space="0" w:color="000000"/>
            </w:tcBorders>
            <w:shd w:val="clear" w:color="auto" w:fill="EEF7F8"/>
            <w:vAlign w:val="center"/>
          </w:tcPr>
          <w:p w:rsidR="001363BF" w:rsidRDefault="001363BF" w:rsidP="007A56F0">
            <w:pPr>
              <w:ind w:firstLine="0"/>
              <w:jc w:val="left"/>
              <w:rPr>
                <w:szCs w:val="24"/>
              </w:rPr>
            </w:pPr>
            <w:r>
              <w:rPr>
                <w:szCs w:val="24"/>
              </w:rPr>
              <w:t>Susietoji parama už plotus (baltyminiai augalai ir daržovės)</w:t>
            </w:r>
          </w:p>
        </w:tc>
        <w:tc>
          <w:tcPr>
            <w:tcW w:w="2013" w:type="dxa"/>
            <w:tcBorders>
              <w:left w:val="single" w:sz="4" w:space="0" w:color="000000"/>
              <w:bottom w:val="single" w:sz="4" w:space="0" w:color="000000"/>
            </w:tcBorders>
            <w:shd w:val="clear" w:color="auto" w:fill="EEF7F8"/>
            <w:vAlign w:val="center"/>
          </w:tcPr>
          <w:p w:rsidR="001363BF" w:rsidRDefault="001363BF" w:rsidP="007A56F0">
            <w:pPr>
              <w:jc w:val="left"/>
              <w:rPr>
                <w:szCs w:val="24"/>
              </w:rPr>
            </w:pPr>
            <w:r>
              <w:rPr>
                <w:szCs w:val="24"/>
              </w:rPr>
              <w:t>78</w:t>
            </w:r>
          </w:p>
        </w:tc>
        <w:tc>
          <w:tcPr>
            <w:tcW w:w="2700" w:type="dxa"/>
            <w:tcBorders>
              <w:left w:val="single" w:sz="4" w:space="0" w:color="000000"/>
              <w:bottom w:val="single" w:sz="4" w:space="0" w:color="000000"/>
            </w:tcBorders>
            <w:shd w:val="clear" w:color="auto" w:fill="EEF7F8"/>
            <w:vAlign w:val="center"/>
          </w:tcPr>
          <w:p w:rsidR="001363BF" w:rsidRDefault="001363BF" w:rsidP="007A56F0">
            <w:pPr>
              <w:jc w:val="left"/>
            </w:pPr>
            <w:r>
              <w:rPr>
                <w:szCs w:val="24"/>
              </w:rPr>
              <w:t>434</w:t>
            </w:r>
          </w:p>
        </w:tc>
        <w:tc>
          <w:tcPr>
            <w:tcW w:w="1855" w:type="dxa"/>
            <w:tcBorders>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39,4</w:t>
            </w:r>
          </w:p>
        </w:tc>
      </w:tr>
      <w:tr w:rsidR="001363BF" w:rsidTr="007A56F0">
        <w:trPr>
          <w:trHeight w:val="1125"/>
        </w:trPr>
        <w:tc>
          <w:tcPr>
            <w:tcW w:w="2269"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 xml:space="preserve">Išmokos ūkininkaujantiems vietovėse, kuriose yra kliūčių, išskyrus kalnuotas vietoves (nenašias žemes) </w:t>
            </w:r>
          </w:p>
        </w:tc>
        <w:tc>
          <w:tcPr>
            <w:tcW w:w="201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1 214</w:t>
            </w:r>
          </w:p>
        </w:tc>
        <w:tc>
          <w:tcPr>
            <w:tcW w:w="2700"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15 790</w:t>
            </w:r>
          </w:p>
        </w:tc>
        <w:tc>
          <w:tcPr>
            <w:tcW w:w="185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697,4</w:t>
            </w:r>
          </w:p>
        </w:tc>
      </w:tr>
      <w:tr w:rsidR="001363BF" w:rsidTr="007A56F0">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Agrarinės aplinkosaugos išmokos</w:t>
            </w:r>
            <w:r>
              <w:rPr>
                <w:szCs w:val="24"/>
                <w:lang w:val="en-US"/>
              </w:rPr>
              <w:t xml:space="preserve"> </w:t>
            </w:r>
          </w:p>
        </w:tc>
        <w:tc>
          <w:tcPr>
            <w:tcW w:w="201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61</w:t>
            </w:r>
          </w:p>
        </w:tc>
        <w:tc>
          <w:tcPr>
            <w:tcW w:w="2700"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1 457</w:t>
            </w:r>
          </w:p>
        </w:tc>
        <w:tc>
          <w:tcPr>
            <w:tcW w:w="185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200</w:t>
            </w:r>
          </w:p>
        </w:tc>
      </w:tr>
      <w:tr w:rsidR="001363BF" w:rsidTr="007A56F0">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left="-15" w:firstLine="15"/>
              <w:jc w:val="left"/>
            </w:pPr>
            <w:r>
              <w:rPr>
                <w:szCs w:val="24"/>
              </w:rPr>
              <w:t>„Natura 2000“ miškų teritorijose</w:t>
            </w:r>
          </w:p>
        </w:tc>
        <w:tc>
          <w:tcPr>
            <w:tcW w:w="201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10</w:t>
            </w:r>
          </w:p>
        </w:tc>
        <w:tc>
          <w:tcPr>
            <w:tcW w:w="2700"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45,89</w:t>
            </w:r>
          </w:p>
        </w:tc>
        <w:tc>
          <w:tcPr>
            <w:tcW w:w="185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12,8</w:t>
            </w:r>
          </w:p>
        </w:tc>
      </w:tr>
      <w:tr w:rsidR="001363BF" w:rsidTr="007A56F0">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rPr>
                <w:b/>
                <w:bCs/>
              </w:rPr>
            </w:pPr>
            <w:r>
              <w:rPr>
                <w:b/>
                <w:bCs/>
                <w:szCs w:val="24"/>
              </w:rPr>
              <w:t>Iš viso</w:t>
            </w:r>
          </w:p>
        </w:tc>
        <w:tc>
          <w:tcPr>
            <w:tcW w:w="201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rPr>
                <w:lang w:val="en-US"/>
              </w:rPr>
            </w:pPr>
            <w:r>
              <w:rPr>
                <w:b/>
                <w:bCs/>
              </w:rPr>
              <w:t xml:space="preserve">2 </w:t>
            </w:r>
            <w:r>
              <w:rPr>
                <w:b/>
                <w:bCs/>
                <w:lang w:val="en-US"/>
              </w:rPr>
              <w:t>615</w:t>
            </w:r>
          </w:p>
        </w:tc>
        <w:tc>
          <w:tcPr>
            <w:tcW w:w="2700"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rPr>
                <w:b/>
                <w:bCs/>
              </w:rPr>
            </w:pPr>
            <w:r>
              <w:rPr>
                <w:lang w:val="en-US"/>
              </w:rPr>
              <w:t> </w:t>
            </w:r>
          </w:p>
        </w:tc>
        <w:tc>
          <w:tcPr>
            <w:tcW w:w="185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rPr>
                <w:b/>
                <w:bCs/>
              </w:rPr>
              <w:t>3 163,4</w:t>
            </w:r>
          </w:p>
        </w:tc>
      </w:tr>
    </w:tbl>
    <w:p w:rsidR="001363BF" w:rsidRDefault="001363BF" w:rsidP="001363BF">
      <w:pPr>
        <w:ind w:firstLine="0"/>
        <w:jc w:val="left"/>
        <w:rPr>
          <w:szCs w:val="24"/>
        </w:rPr>
      </w:pPr>
    </w:p>
    <w:p w:rsidR="001363BF" w:rsidRDefault="001363BF" w:rsidP="001363BF">
      <w:pPr>
        <w:jc w:val="center"/>
        <w:rPr>
          <w:b/>
          <w:szCs w:val="24"/>
        </w:rPr>
      </w:pPr>
    </w:p>
    <w:p w:rsidR="001363BF" w:rsidRDefault="001363BF" w:rsidP="001363BF">
      <w:pPr>
        <w:jc w:val="center"/>
        <w:rPr>
          <w:b/>
          <w:szCs w:val="24"/>
        </w:rPr>
      </w:pPr>
    </w:p>
    <w:p w:rsidR="001363BF" w:rsidRDefault="001363BF" w:rsidP="001363BF">
      <w:pPr>
        <w:jc w:val="center"/>
      </w:pPr>
      <w:r>
        <w:rPr>
          <w:b/>
          <w:szCs w:val="24"/>
        </w:rPr>
        <w:t>GALVIJŲ SKAIČIAUS KITIMO RODIKLIAI</w:t>
      </w:r>
    </w:p>
    <w:p w:rsidR="001363BF" w:rsidRDefault="001363BF" w:rsidP="001363BF">
      <w:pPr>
        <w:jc w:val="center"/>
        <w:rPr>
          <w:b/>
          <w:szCs w:val="24"/>
        </w:rPr>
      </w:pPr>
      <w:r>
        <w:rPr>
          <w:noProof/>
          <w:lang w:eastAsia="lt-LT"/>
        </w:rPr>
        <w:lastRenderedPageBreak/>
        <w:drawing>
          <wp:anchor distT="0" distB="0" distL="0" distR="0" simplePos="0" relativeHeight="251699200" behindDoc="0" locked="0" layoutInCell="1" allowOverlap="1">
            <wp:simplePos x="0" y="0"/>
            <wp:positionH relativeFrom="column">
              <wp:align>center</wp:align>
            </wp:positionH>
            <wp:positionV relativeFrom="paragraph">
              <wp:posOffset>0</wp:posOffset>
            </wp:positionV>
            <wp:extent cx="5483225" cy="3164840"/>
            <wp:effectExtent l="19050" t="0" r="3175" b="0"/>
            <wp:wrapTopAndBottom/>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7"/>
                    <a:srcRect/>
                    <a:stretch>
                      <a:fillRect/>
                    </a:stretch>
                  </pic:blipFill>
                  <pic:spPr bwMode="auto">
                    <a:xfrm>
                      <a:off x="0" y="0"/>
                      <a:ext cx="5483225" cy="3164840"/>
                    </a:xfrm>
                    <a:prstGeom prst="rect">
                      <a:avLst/>
                    </a:prstGeom>
                    <a:solidFill>
                      <a:srgbClr val="FFFFFF"/>
                    </a:solidFill>
                    <a:ln w="9525">
                      <a:noFill/>
                      <a:miter lim="800000"/>
                      <a:headEnd/>
                      <a:tailEnd/>
                    </a:ln>
                  </pic:spPr>
                </pic:pic>
              </a:graphicData>
            </a:graphic>
          </wp:anchor>
        </w:drawing>
      </w:r>
    </w:p>
    <w:p w:rsidR="001363BF" w:rsidRDefault="001363BF" w:rsidP="001363BF">
      <w:pPr>
        <w:ind w:firstLine="0"/>
        <w:jc w:val="left"/>
      </w:pPr>
    </w:p>
    <w:p w:rsidR="001363BF" w:rsidRDefault="001363BF" w:rsidP="001363BF">
      <w:pPr>
        <w:ind w:firstLine="0"/>
        <w:rPr>
          <w:b/>
          <w:szCs w:val="24"/>
        </w:rPr>
      </w:pPr>
    </w:p>
    <w:p w:rsidR="001363BF" w:rsidRDefault="001363BF" w:rsidP="001363BF">
      <w:pPr>
        <w:jc w:val="center"/>
        <w:rPr>
          <w:szCs w:val="24"/>
        </w:rPr>
      </w:pPr>
      <w:r>
        <w:rPr>
          <w:b/>
          <w:szCs w:val="24"/>
        </w:rPr>
        <w:t>IŠMOKOS UŽ ŪKINIUS GYVŪNUS</w:t>
      </w:r>
    </w:p>
    <w:p w:rsidR="001363BF" w:rsidRDefault="001363BF" w:rsidP="001363BF">
      <w:pPr>
        <w:jc w:val="left"/>
        <w:rPr>
          <w:szCs w:val="24"/>
        </w:rPr>
      </w:pPr>
    </w:p>
    <w:tbl>
      <w:tblPr>
        <w:tblW w:w="0" w:type="auto"/>
        <w:tblInd w:w="-164" w:type="dxa"/>
        <w:tblLayout w:type="fixed"/>
        <w:tblCellMar>
          <w:left w:w="0" w:type="dxa"/>
          <w:right w:w="0" w:type="dxa"/>
        </w:tblCellMar>
        <w:tblLook w:val="0000"/>
      </w:tblPr>
      <w:tblGrid>
        <w:gridCol w:w="1763"/>
        <w:gridCol w:w="1537"/>
        <w:gridCol w:w="1764"/>
        <w:gridCol w:w="1801"/>
        <w:gridCol w:w="1972"/>
      </w:tblGrid>
      <w:tr w:rsidR="001363BF" w:rsidTr="007A56F0">
        <w:trPr>
          <w:trHeight w:val="915"/>
        </w:trPr>
        <w:tc>
          <w:tcPr>
            <w:tcW w:w="1763"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left"/>
              <w:rPr>
                <w:b/>
                <w:bCs/>
                <w:szCs w:val="24"/>
              </w:rPr>
            </w:pPr>
            <w:r>
              <w:rPr>
                <w:b/>
                <w:bCs/>
                <w:szCs w:val="24"/>
              </w:rPr>
              <w:t>Išmokos rūšis</w:t>
            </w:r>
            <w:r>
              <w:rPr>
                <w:b/>
                <w:bCs/>
                <w:szCs w:val="24"/>
                <w:lang w:val="en-US"/>
              </w:rPr>
              <w:t xml:space="preserve"> </w:t>
            </w:r>
          </w:p>
        </w:tc>
        <w:tc>
          <w:tcPr>
            <w:tcW w:w="1537"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left"/>
              <w:rPr>
                <w:b/>
                <w:bCs/>
                <w:szCs w:val="24"/>
              </w:rPr>
            </w:pPr>
            <w:r>
              <w:rPr>
                <w:b/>
                <w:bCs/>
                <w:szCs w:val="24"/>
              </w:rPr>
              <w:t xml:space="preserve">Laikytojų skaičius vnt. </w:t>
            </w:r>
          </w:p>
        </w:tc>
        <w:tc>
          <w:tcPr>
            <w:tcW w:w="1764"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left"/>
              <w:rPr>
                <w:b/>
                <w:bCs/>
                <w:szCs w:val="24"/>
              </w:rPr>
            </w:pPr>
            <w:r>
              <w:rPr>
                <w:b/>
                <w:bCs/>
                <w:szCs w:val="24"/>
              </w:rPr>
              <w:t xml:space="preserve">Gyvulių/šeimų skaičius vnt. </w:t>
            </w:r>
          </w:p>
        </w:tc>
        <w:tc>
          <w:tcPr>
            <w:tcW w:w="1801" w:type="dxa"/>
            <w:tcBorders>
              <w:top w:val="single" w:sz="4" w:space="0" w:color="000000"/>
              <w:left w:val="single" w:sz="4" w:space="0" w:color="000000"/>
              <w:bottom w:val="single" w:sz="4" w:space="0" w:color="000000"/>
            </w:tcBorders>
            <w:shd w:val="clear" w:color="auto" w:fill="BBE0E3"/>
            <w:vAlign w:val="center"/>
          </w:tcPr>
          <w:p w:rsidR="001363BF" w:rsidRDefault="001363BF" w:rsidP="007A56F0">
            <w:pPr>
              <w:ind w:firstLine="0"/>
              <w:jc w:val="left"/>
              <w:rPr>
                <w:b/>
                <w:bCs/>
                <w:szCs w:val="24"/>
              </w:rPr>
            </w:pPr>
            <w:r>
              <w:rPr>
                <w:b/>
                <w:bCs/>
                <w:szCs w:val="24"/>
              </w:rPr>
              <w:t xml:space="preserve">Išmokos dydis Eur už vnt./šeimą </w:t>
            </w:r>
          </w:p>
        </w:tc>
        <w:tc>
          <w:tcPr>
            <w:tcW w:w="1972"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1363BF" w:rsidRDefault="001363BF" w:rsidP="007A56F0">
            <w:pPr>
              <w:ind w:left="439" w:firstLine="0"/>
              <w:jc w:val="left"/>
            </w:pPr>
            <w:r>
              <w:rPr>
                <w:b/>
                <w:bCs/>
                <w:szCs w:val="24"/>
              </w:rPr>
              <w:t xml:space="preserve">Parama tūkst./Eur </w:t>
            </w:r>
          </w:p>
        </w:tc>
      </w:tr>
      <w:tr w:rsidR="001363BF" w:rsidTr="007A56F0">
        <w:trPr>
          <w:trHeight w:val="435"/>
        </w:trPr>
        <w:tc>
          <w:tcPr>
            <w:tcW w:w="176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Už mėsinius galvijus</w:t>
            </w:r>
          </w:p>
        </w:tc>
        <w:tc>
          <w:tcPr>
            <w:tcW w:w="1537"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218</w:t>
            </w:r>
          </w:p>
        </w:tc>
        <w:tc>
          <w:tcPr>
            <w:tcW w:w="1764"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1422</w:t>
            </w:r>
          </w:p>
        </w:tc>
        <w:tc>
          <w:tcPr>
            <w:tcW w:w="180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108,78</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154,7</w:t>
            </w:r>
          </w:p>
        </w:tc>
      </w:tr>
      <w:tr w:rsidR="001363BF" w:rsidTr="007A56F0">
        <w:trPr>
          <w:trHeight w:val="435"/>
        </w:trPr>
        <w:tc>
          <w:tcPr>
            <w:tcW w:w="176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Už mėsines avis</w:t>
            </w:r>
          </w:p>
        </w:tc>
        <w:tc>
          <w:tcPr>
            <w:tcW w:w="1537"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45</w:t>
            </w:r>
          </w:p>
        </w:tc>
        <w:tc>
          <w:tcPr>
            <w:tcW w:w="1764"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873</w:t>
            </w:r>
          </w:p>
        </w:tc>
        <w:tc>
          <w:tcPr>
            <w:tcW w:w="180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13,41</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11,7</w:t>
            </w:r>
          </w:p>
        </w:tc>
      </w:tr>
      <w:tr w:rsidR="001363BF" w:rsidTr="007A56F0">
        <w:trPr>
          <w:trHeight w:val="555"/>
        </w:trPr>
        <w:tc>
          <w:tcPr>
            <w:tcW w:w="176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 xml:space="preserve">Už pienines karves </w:t>
            </w:r>
          </w:p>
        </w:tc>
        <w:tc>
          <w:tcPr>
            <w:tcW w:w="1537"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358</w:t>
            </w:r>
          </w:p>
        </w:tc>
        <w:tc>
          <w:tcPr>
            <w:tcW w:w="1764"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3261</w:t>
            </w:r>
          </w:p>
        </w:tc>
        <w:tc>
          <w:tcPr>
            <w:tcW w:w="180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80</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260,8</w:t>
            </w:r>
          </w:p>
        </w:tc>
      </w:tr>
      <w:tr w:rsidR="001363BF" w:rsidTr="007A56F0">
        <w:trPr>
          <w:trHeight w:val="465"/>
        </w:trPr>
        <w:tc>
          <w:tcPr>
            <w:tcW w:w="176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 xml:space="preserve">Už ėriavedes </w:t>
            </w:r>
          </w:p>
        </w:tc>
        <w:tc>
          <w:tcPr>
            <w:tcW w:w="1537"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9</w:t>
            </w:r>
          </w:p>
        </w:tc>
        <w:tc>
          <w:tcPr>
            <w:tcW w:w="1764"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268</w:t>
            </w:r>
          </w:p>
        </w:tc>
        <w:tc>
          <w:tcPr>
            <w:tcW w:w="180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t>5,8</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1,6</w:t>
            </w:r>
          </w:p>
        </w:tc>
      </w:tr>
      <w:tr w:rsidR="001363BF" w:rsidTr="007A56F0">
        <w:trPr>
          <w:trHeight w:val="435"/>
        </w:trPr>
        <w:tc>
          <w:tcPr>
            <w:tcW w:w="176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 xml:space="preserve">Už bičių maitinimą </w:t>
            </w:r>
          </w:p>
        </w:tc>
        <w:tc>
          <w:tcPr>
            <w:tcW w:w="1537"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rPr>
                <w:lang w:val="en-US"/>
              </w:rPr>
            </w:pPr>
            <w:r>
              <w:t>35</w:t>
            </w:r>
          </w:p>
        </w:tc>
        <w:tc>
          <w:tcPr>
            <w:tcW w:w="1764"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rPr>
                <w:lang w:val="en-US"/>
              </w:rPr>
            </w:pPr>
            <w:r>
              <w:rPr>
                <w:lang w:val="en-US"/>
              </w:rPr>
              <w:t>626</w:t>
            </w:r>
          </w:p>
        </w:tc>
        <w:tc>
          <w:tcPr>
            <w:tcW w:w="180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pPr>
            <w:r>
              <w:rPr>
                <w:lang w:val="en-US"/>
              </w:rPr>
              <w:t>5,4</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t>3,4</w:t>
            </w:r>
          </w:p>
        </w:tc>
      </w:tr>
      <w:tr w:rsidR="001363BF" w:rsidTr="007A56F0">
        <w:trPr>
          <w:trHeight w:val="435"/>
        </w:trPr>
        <w:tc>
          <w:tcPr>
            <w:tcW w:w="1763"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left"/>
              <w:rPr>
                <w:lang w:val="en-US"/>
              </w:rPr>
            </w:pPr>
            <w:r>
              <w:rPr>
                <w:szCs w:val="24"/>
              </w:rPr>
              <w:t>Už pieninių veislių bulius</w:t>
            </w:r>
          </w:p>
        </w:tc>
        <w:tc>
          <w:tcPr>
            <w:tcW w:w="1537"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center"/>
              <w:rPr>
                <w:lang w:val="en-US"/>
              </w:rPr>
            </w:pPr>
            <w:r>
              <w:rPr>
                <w:lang w:val="en-US"/>
              </w:rPr>
              <w:t>113</w:t>
            </w:r>
          </w:p>
        </w:tc>
        <w:tc>
          <w:tcPr>
            <w:tcW w:w="1764"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center"/>
            </w:pPr>
            <w:r>
              <w:rPr>
                <w:lang w:val="en-US"/>
              </w:rPr>
              <w:t>467</w:t>
            </w:r>
          </w:p>
        </w:tc>
        <w:tc>
          <w:tcPr>
            <w:tcW w:w="1801" w:type="dxa"/>
            <w:tcBorders>
              <w:top w:val="single" w:sz="4" w:space="0" w:color="000000"/>
              <w:left w:val="single" w:sz="4" w:space="0" w:color="000000"/>
              <w:bottom w:val="single" w:sz="4" w:space="0" w:color="000000"/>
            </w:tcBorders>
            <w:shd w:val="clear" w:color="auto" w:fill="EEF7F8"/>
            <w:vAlign w:val="center"/>
          </w:tcPr>
          <w:p w:rsidR="001363BF" w:rsidRDefault="001363BF" w:rsidP="007A56F0">
            <w:pPr>
              <w:ind w:firstLine="0"/>
              <w:jc w:val="center"/>
            </w:pPr>
            <w:r>
              <w:t>76,79</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ind w:firstLine="0"/>
              <w:jc w:val="center"/>
            </w:pPr>
            <w:r>
              <w:t>35,8</w:t>
            </w:r>
          </w:p>
        </w:tc>
      </w:tr>
      <w:tr w:rsidR="001363BF" w:rsidTr="007A56F0">
        <w:trPr>
          <w:trHeight w:val="435"/>
        </w:trPr>
        <w:tc>
          <w:tcPr>
            <w:tcW w:w="1763" w:type="dxa"/>
            <w:tcBorders>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Už pienines ožkas</w:t>
            </w:r>
          </w:p>
        </w:tc>
        <w:tc>
          <w:tcPr>
            <w:tcW w:w="1537" w:type="dxa"/>
            <w:tcBorders>
              <w:left w:val="single" w:sz="4" w:space="0" w:color="000000"/>
              <w:bottom w:val="single" w:sz="4" w:space="0" w:color="000000"/>
            </w:tcBorders>
            <w:shd w:val="clear" w:color="auto" w:fill="EEF7F8"/>
            <w:vAlign w:val="center"/>
          </w:tcPr>
          <w:p w:rsidR="001363BF" w:rsidRDefault="001363BF" w:rsidP="007A56F0">
            <w:pPr>
              <w:ind w:firstLine="0"/>
              <w:jc w:val="center"/>
              <w:rPr>
                <w:lang w:val="en-US"/>
              </w:rPr>
            </w:pPr>
            <w:r>
              <w:t>15</w:t>
            </w:r>
          </w:p>
        </w:tc>
        <w:tc>
          <w:tcPr>
            <w:tcW w:w="1764" w:type="dxa"/>
            <w:tcBorders>
              <w:left w:val="single" w:sz="4" w:space="0" w:color="000000"/>
              <w:bottom w:val="single" w:sz="4" w:space="0" w:color="000000"/>
            </w:tcBorders>
            <w:shd w:val="clear" w:color="auto" w:fill="EEF7F8"/>
            <w:vAlign w:val="center"/>
          </w:tcPr>
          <w:p w:rsidR="001363BF" w:rsidRDefault="001363BF" w:rsidP="007A56F0">
            <w:pPr>
              <w:ind w:firstLine="0"/>
              <w:jc w:val="center"/>
            </w:pPr>
            <w:r>
              <w:rPr>
                <w:lang w:val="en-US"/>
              </w:rPr>
              <w:t>89</w:t>
            </w:r>
          </w:p>
        </w:tc>
        <w:tc>
          <w:tcPr>
            <w:tcW w:w="1801" w:type="dxa"/>
            <w:tcBorders>
              <w:left w:val="single" w:sz="4" w:space="0" w:color="000000"/>
              <w:bottom w:val="single" w:sz="4" w:space="0" w:color="000000"/>
            </w:tcBorders>
            <w:shd w:val="clear" w:color="auto" w:fill="EEF7F8"/>
            <w:vAlign w:val="center"/>
          </w:tcPr>
          <w:p w:rsidR="001363BF" w:rsidRDefault="001363BF" w:rsidP="007A56F0">
            <w:pPr>
              <w:ind w:firstLine="0"/>
              <w:jc w:val="center"/>
            </w:pPr>
            <w:r>
              <w:t>41,38</w:t>
            </w:r>
          </w:p>
        </w:tc>
        <w:tc>
          <w:tcPr>
            <w:tcW w:w="1972" w:type="dxa"/>
            <w:tcBorders>
              <w:left w:val="single" w:sz="4" w:space="0" w:color="000000"/>
              <w:bottom w:val="single" w:sz="4" w:space="0" w:color="000000"/>
              <w:right w:val="single" w:sz="4" w:space="0" w:color="000000"/>
            </w:tcBorders>
            <w:shd w:val="clear" w:color="auto" w:fill="EEF7F8"/>
            <w:vAlign w:val="center"/>
          </w:tcPr>
          <w:p w:rsidR="001363BF" w:rsidRDefault="001363BF" w:rsidP="007A56F0">
            <w:pPr>
              <w:ind w:firstLine="0"/>
              <w:jc w:val="center"/>
            </w:pPr>
            <w:r>
              <w:t>3,7</w:t>
            </w:r>
          </w:p>
        </w:tc>
      </w:tr>
      <w:tr w:rsidR="001363BF" w:rsidTr="007A56F0">
        <w:trPr>
          <w:trHeight w:val="435"/>
        </w:trPr>
        <w:tc>
          <w:tcPr>
            <w:tcW w:w="1763" w:type="dxa"/>
            <w:tcBorders>
              <w:left w:val="single" w:sz="4" w:space="0" w:color="000000"/>
              <w:bottom w:val="single" w:sz="4" w:space="0" w:color="000000"/>
            </w:tcBorders>
            <w:shd w:val="clear" w:color="auto" w:fill="EEF7F8"/>
            <w:vAlign w:val="center"/>
          </w:tcPr>
          <w:p w:rsidR="001363BF" w:rsidRDefault="001363BF" w:rsidP="007A56F0">
            <w:pPr>
              <w:ind w:firstLine="0"/>
              <w:jc w:val="left"/>
            </w:pPr>
            <w:r>
              <w:rPr>
                <w:szCs w:val="24"/>
              </w:rPr>
              <w:t xml:space="preserve">Už pieną </w:t>
            </w:r>
          </w:p>
        </w:tc>
        <w:tc>
          <w:tcPr>
            <w:tcW w:w="1537" w:type="dxa"/>
            <w:tcBorders>
              <w:left w:val="single" w:sz="4" w:space="0" w:color="000000"/>
              <w:bottom w:val="single" w:sz="4" w:space="0" w:color="000000"/>
            </w:tcBorders>
            <w:shd w:val="clear" w:color="auto" w:fill="EEF7F8"/>
            <w:vAlign w:val="center"/>
          </w:tcPr>
          <w:p w:rsidR="001363BF" w:rsidRDefault="001363BF" w:rsidP="007A56F0">
            <w:pPr>
              <w:ind w:firstLine="0"/>
              <w:jc w:val="center"/>
              <w:rPr>
                <w:lang w:val="en-US"/>
              </w:rPr>
            </w:pPr>
            <w:r>
              <w:t>350</w:t>
            </w:r>
          </w:p>
        </w:tc>
        <w:tc>
          <w:tcPr>
            <w:tcW w:w="1764" w:type="dxa"/>
            <w:tcBorders>
              <w:left w:val="single" w:sz="4" w:space="0" w:color="000000"/>
              <w:bottom w:val="single" w:sz="4" w:space="0" w:color="000000"/>
            </w:tcBorders>
            <w:shd w:val="clear" w:color="auto" w:fill="EEF7F8"/>
            <w:vAlign w:val="center"/>
          </w:tcPr>
          <w:p w:rsidR="001363BF" w:rsidRDefault="001363BF" w:rsidP="007A56F0">
            <w:pPr>
              <w:snapToGrid w:val="0"/>
              <w:jc w:val="center"/>
              <w:rPr>
                <w:lang w:val="en-US"/>
              </w:rPr>
            </w:pPr>
          </w:p>
        </w:tc>
        <w:tc>
          <w:tcPr>
            <w:tcW w:w="1801" w:type="dxa"/>
            <w:tcBorders>
              <w:left w:val="single" w:sz="4" w:space="0" w:color="000000"/>
              <w:bottom w:val="single" w:sz="4" w:space="0" w:color="000000"/>
            </w:tcBorders>
            <w:shd w:val="clear" w:color="auto" w:fill="EEF7F8"/>
            <w:vAlign w:val="center"/>
          </w:tcPr>
          <w:p w:rsidR="001363BF" w:rsidRDefault="001363BF" w:rsidP="007A56F0">
            <w:pPr>
              <w:snapToGrid w:val="0"/>
              <w:ind w:firstLine="0"/>
              <w:jc w:val="center"/>
            </w:pPr>
          </w:p>
        </w:tc>
        <w:tc>
          <w:tcPr>
            <w:tcW w:w="1972" w:type="dxa"/>
            <w:tcBorders>
              <w:left w:val="single" w:sz="4" w:space="0" w:color="000000"/>
              <w:bottom w:val="single" w:sz="4" w:space="0" w:color="000000"/>
              <w:right w:val="single" w:sz="4" w:space="0" w:color="000000"/>
            </w:tcBorders>
            <w:shd w:val="clear" w:color="auto" w:fill="EEF7F8"/>
            <w:vAlign w:val="center"/>
          </w:tcPr>
          <w:p w:rsidR="001363BF" w:rsidRDefault="001363BF" w:rsidP="007A56F0">
            <w:pPr>
              <w:ind w:firstLine="0"/>
              <w:jc w:val="center"/>
            </w:pPr>
            <w:r>
              <w:t>874,3</w:t>
            </w:r>
          </w:p>
        </w:tc>
      </w:tr>
      <w:tr w:rsidR="001363BF" w:rsidTr="007A56F0">
        <w:trPr>
          <w:trHeight w:val="435"/>
        </w:trPr>
        <w:tc>
          <w:tcPr>
            <w:tcW w:w="6865" w:type="dxa"/>
            <w:gridSpan w:val="4"/>
            <w:tcBorders>
              <w:top w:val="single" w:sz="4" w:space="0" w:color="000000"/>
              <w:left w:val="single" w:sz="4" w:space="0" w:color="000000"/>
              <w:bottom w:val="single" w:sz="4" w:space="0" w:color="000000"/>
            </w:tcBorders>
            <w:shd w:val="clear" w:color="auto" w:fill="EEF7F8"/>
            <w:vAlign w:val="center"/>
          </w:tcPr>
          <w:p w:rsidR="001363BF" w:rsidRDefault="001363BF" w:rsidP="007A56F0">
            <w:pPr>
              <w:jc w:val="left"/>
              <w:rPr>
                <w:b/>
                <w:bCs/>
              </w:rPr>
            </w:pPr>
            <w:r>
              <w:rPr>
                <w:b/>
                <w:bCs/>
                <w:szCs w:val="24"/>
              </w:rPr>
              <w:t>Iš viso</w:t>
            </w:r>
          </w:p>
        </w:tc>
        <w:tc>
          <w:tcPr>
            <w:tcW w:w="1972"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1363BF" w:rsidRDefault="001363BF" w:rsidP="007A56F0">
            <w:pPr>
              <w:jc w:val="left"/>
            </w:pPr>
            <w:r>
              <w:rPr>
                <w:b/>
                <w:bCs/>
              </w:rPr>
              <w:t>1 346,0</w:t>
            </w:r>
          </w:p>
        </w:tc>
      </w:tr>
    </w:tbl>
    <w:p w:rsidR="001363BF" w:rsidRDefault="001363BF" w:rsidP="001363BF">
      <w:pPr>
        <w:tabs>
          <w:tab w:val="left" w:pos="9356"/>
        </w:tabs>
        <w:ind w:firstLine="0"/>
        <w:jc w:val="left"/>
        <w:rPr>
          <w:szCs w:val="24"/>
        </w:rPr>
      </w:pPr>
    </w:p>
    <w:p w:rsidR="001363BF" w:rsidRDefault="001363BF" w:rsidP="001363BF">
      <w:pPr>
        <w:tabs>
          <w:tab w:val="left" w:pos="9356"/>
        </w:tabs>
        <w:ind w:firstLine="0"/>
        <w:jc w:val="left"/>
        <w:rPr>
          <w:szCs w:val="24"/>
        </w:rPr>
      </w:pPr>
    </w:p>
    <w:p w:rsidR="001363BF" w:rsidRDefault="001363BF" w:rsidP="001363BF">
      <w:pPr>
        <w:tabs>
          <w:tab w:val="left" w:pos="9356"/>
        </w:tabs>
        <w:ind w:firstLine="0"/>
        <w:jc w:val="left"/>
        <w:rPr>
          <w:szCs w:val="24"/>
        </w:rPr>
      </w:pPr>
    </w:p>
    <w:p w:rsidR="001363BF" w:rsidRDefault="001363BF" w:rsidP="001363BF">
      <w:pPr>
        <w:tabs>
          <w:tab w:val="left" w:pos="9356"/>
        </w:tabs>
        <w:jc w:val="center"/>
        <w:rPr>
          <w:b/>
        </w:rPr>
      </w:pPr>
      <w:r>
        <w:rPr>
          <w:b/>
          <w:szCs w:val="24"/>
        </w:rPr>
        <w:t>REGISTRUOTŲ ŽEMĖS ŪKIO VEIKLOS SUBJEKTŲ KITIMO RODIKLIAI</w:t>
      </w:r>
    </w:p>
    <w:p w:rsidR="001363BF" w:rsidRDefault="001363BF" w:rsidP="001363BF">
      <w:pPr>
        <w:ind w:firstLine="0"/>
        <w:rPr>
          <w:b/>
        </w:rPr>
      </w:pPr>
    </w:p>
    <w:p w:rsidR="001363BF" w:rsidRDefault="001363BF" w:rsidP="001363BF">
      <w:pPr>
        <w:ind w:firstLine="0"/>
        <w:jc w:val="center"/>
        <w:rPr>
          <w:szCs w:val="24"/>
        </w:rPr>
      </w:pPr>
      <w:r>
        <w:rPr>
          <w:noProof/>
          <w:lang w:eastAsia="lt-LT"/>
        </w:rPr>
        <w:lastRenderedPageBreak/>
        <w:drawing>
          <wp:anchor distT="0" distB="0" distL="0" distR="0" simplePos="0" relativeHeight="251700224" behindDoc="0" locked="0" layoutInCell="1" allowOverlap="1">
            <wp:simplePos x="0" y="0"/>
            <wp:positionH relativeFrom="column">
              <wp:align>center</wp:align>
            </wp:positionH>
            <wp:positionV relativeFrom="paragraph">
              <wp:posOffset>0</wp:posOffset>
            </wp:positionV>
            <wp:extent cx="5483225" cy="3164840"/>
            <wp:effectExtent l="19050" t="0" r="3175" b="0"/>
            <wp:wrapTopAndBottom/>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8"/>
                    <a:srcRect/>
                    <a:stretch>
                      <a:fillRect/>
                    </a:stretch>
                  </pic:blipFill>
                  <pic:spPr bwMode="auto">
                    <a:xfrm>
                      <a:off x="0" y="0"/>
                      <a:ext cx="5483225" cy="3164840"/>
                    </a:xfrm>
                    <a:prstGeom prst="rect">
                      <a:avLst/>
                    </a:prstGeom>
                    <a:solidFill>
                      <a:srgbClr val="FFFFFF"/>
                    </a:solidFill>
                    <a:ln w="9525">
                      <a:noFill/>
                      <a:miter lim="800000"/>
                      <a:headEnd/>
                      <a:tailEnd/>
                    </a:ln>
                  </pic:spPr>
                </pic:pic>
              </a:graphicData>
            </a:graphic>
          </wp:anchor>
        </w:drawing>
      </w:r>
    </w:p>
    <w:p w:rsidR="001363BF" w:rsidRDefault="001363BF" w:rsidP="001363BF">
      <w:pPr>
        <w:ind w:firstLine="0"/>
        <w:jc w:val="center"/>
      </w:pPr>
      <w:r>
        <w:rPr>
          <w:b/>
        </w:rPr>
        <w:t>Traktorių, savaeigių mašinų ir traktoriams skirtų priekabų kitimo rodikliai</w:t>
      </w:r>
    </w:p>
    <w:p w:rsidR="001363BF" w:rsidRDefault="001363BF" w:rsidP="001363BF">
      <w:pPr>
        <w:ind w:firstLine="0"/>
        <w:jc w:val="center"/>
      </w:pPr>
    </w:p>
    <w:p w:rsidR="001363BF" w:rsidRDefault="001363BF" w:rsidP="001363BF">
      <w:pPr>
        <w:ind w:firstLine="0"/>
        <w:jc w:val="center"/>
        <w:rPr>
          <w:b/>
          <w:szCs w:val="24"/>
        </w:rPr>
      </w:pPr>
      <w:r>
        <w:rPr>
          <w:noProof/>
          <w:lang w:eastAsia="lt-LT"/>
        </w:rPr>
        <w:drawing>
          <wp:anchor distT="0" distB="0" distL="0" distR="0" simplePos="0" relativeHeight="251702272" behindDoc="0" locked="0" layoutInCell="1" allowOverlap="1">
            <wp:simplePos x="0" y="0"/>
            <wp:positionH relativeFrom="column">
              <wp:align>center</wp:align>
            </wp:positionH>
            <wp:positionV relativeFrom="paragraph">
              <wp:posOffset>0</wp:posOffset>
            </wp:positionV>
            <wp:extent cx="5483225" cy="3331845"/>
            <wp:effectExtent l="19050" t="0" r="3175" b="0"/>
            <wp:wrapTopAndBottom/>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9"/>
                    <a:srcRect/>
                    <a:stretch>
                      <a:fillRect/>
                    </a:stretch>
                  </pic:blipFill>
                  <pic:spPr bwMode="auto">
                    <a:xfrm>
                      <a:off x="0" y="0"/>
                      <a:ext cx="5483225" cy="3331845"/>
                    </a:xfrm>
                    <a:prstGeom prst="rect">
                      <a:avLst/>
                    </a:prstGeom>
                    <a:solidFill>
                      <a:srgbClr val="FFFFFF"/>
                    </a:solidFill>
                    <a:ln w="9525">
                      <a:noFill/>
                      <a:miter lim="800000"/>
                      <a:headEnd/>
                      <a:tailEnd/>
                    </a:ln>
                  </pic:spPr>
                </pic:pic>
              </a:graphicData>
            </a:graphic>
          </wp:anchor>
        </w:drawing>
      </w:r>
      <w:r>
        <w:rPr>
          <w:b/>
          <w:szCs w:val="24"/>
        </w:rPr>
        <w:t>MELIORACIJA</w:t>
      </w:r>
    </w:p>
    <w:p w:rsidR="001363BF" w:rsidRDefault="001363BF" w:rsidP="001363BF">
      <w:pPr>
        <w:jc w:val="center"/>
        <w:rPr>
          <w:b/>
          <w:szCs w:val="24"/>
        </w:rPr>
      </w:pPr>
    </w:p>
    <w:p w:rsidR="001363BF" w:rsidRDefault="001363BF" w:rsidP="000A6ED0">
      <w:pPr>
        <w:numPr>
          <w:ilvl w:val="0"/>
          <w:numId w:val="6"/>
        </w:numPr>
        <w:suppressAutoHyphens/>
        <w:jc w:val="left"/>
        <w:rPr>
          <w:szCs w:val="24"/>
        </w:rPr>
      </w:pPr>
      <w:r>
        <w:rPr>
          <w:szCs w:val="24"/>
        </w:rPr>
        <w:t xml:space="preserve">Nusausinta 26,7 tūkst. ha arba 45,6 proc. Savivaldybės žemės ploto. </w:t>
      </w:r>
    </w:p>
    <w:p w:rsidR="001363BF" w:rsidRDefault="001363BF" w:rsidP="000A6ED0">
      <w:pPr>
        <w:numPr>
          <w:ilvl w:val="0"/>
          <w:numId w:val="6"/>
        </w:numPr>
        <w:suppressAutoHyphens/>
        <w:jc w:val="left"/>
        <w:rPr>
          <w:szCs w:val="24"/>
        </w:rPr>
      </w:pPr>
      <w:r>
        <w:rPr>
          <w:szCs w:val="24"/>
        </w:rPr>
        <w:t>Drenažu nusausinta 18,5 tūkst. ha arba 84,1 proc. žemės ūkio paskirties žemės.</w:t>
      </w:r>
    </w:p>
    <w:p w:rsidR="001363BF" w:rsidRDefault="001363BF" w:rsidP="000A6ED0">
      <w:pPr>
        <w:numPr>
          <w:ilvl w:val="0"/>
          <w:numId w:val="6"/>
        </w:numPr>
        <w:suppressAutoHyphens/>
        <w:jc w:val="left"/>
        <w:rPr>
          <w:szCs w:val="24"/>
        </w:rPr>
      </w:pPr>
      <w:r>
        <w:rPr>
          <w:szCs w:val="24"/>
        </w:rPr>
        <w:t xml:space="preserve">Drenažo tinklas </w:t>
      </w:r>
      <w:r w:rsidR="004F7BA8">
        <w:rPr>
          <w:szCs w:val="24"/>
        </w:rPr>
        <w:t>–</w:t>
      </w:r>
      <w:r>
        <w:rPr>
          <w:szCs w:val="24"/>
        </w:rPr>
        <w:t xml:space="preserve"> 12590 km.</w:t>
      </w:r>
    </w:p>
    <w:p w:rsidR="001363BF" w:rsidRDefault="001363BF" w:rsidP="000A6ED0">
      <w:pPr>
        <w:numPr>
          <w:ilvl w:val="0"/>
          <w:numId w:val="6"/>
        </w:numPr>
        <w:suppressAutoHyphens/>
        <w:jc w:val="left"/>
        <w:rPr>
          <w:szCs w:val="24"/>
        </w:rPr>
      </w:pPr>
      <w:r>
        <w:rPr>
          <w:szCs w:val="24"/>
        </w:rPr>
        <w:t>Magistralinių griovių ilgis – 492,9 km.</w:t>
      </w:r>
    </w:p>
    <w:p w:rsidR="001363BF" w:rsidRDefault="001363BF" w:rsidP="000A6ED0">
      <w:pPr>
        <w:numPr>
          <w:ilvl w:val="0"/>
          <w:numId w:val="6"/>
        </w:numPr>
        <w:suppressAutoHyphens/>
        <w:jc w:val="left"/>
        <w:rPr>
          <w:color w:val="000000"/>
          <w:szCs w:val="24"/>
        </w:rPr>
      </w:pPr>
      <w:r>
        <w:rPr>
          <w:szCs w:val="24"/>
        </w:rPr>
        <w:t>Įrengti 505 vnt. hidrotechninių įrenginių.</w:t>
      </w:r>
    </w:p>
    <w:p w:rsidR="001363BF" w:rsidRDefault="001363BF" w:rsidP="000A6ED0">
      <w:pPr>
        <w:numPr>
          <w:ilvl w:val="0"/>
          <w:numId w:val="6"/>
        </w:numPr>
        <w:suppressAutoHyphens/>
        <w:jc w:val="left"/>
        <w:rPr>
          <w:szCs w:val="24"/>
        </w:rPr>
      </w:pPr>
      <w:r>
        <w:rPr>
          <w:color w:val="000000"/>
          <w:szCs w:val="24"/>
        </w:rPr>
        <w:t>Melioracijos įrenginių balansinė vertė –</w:t>
      </w:r>
      <w:r w:rsidR="004F7BA8">
        <w:rPr>
          <w:color w:val="000000"/>
          <w:szCs w:val="24"/>
        </w:rPr>
        <w:t xml:space="preserve"> </w:t>
      </w:r>
      <w:r>
        <w:rPr>
          <w:color w:val="000000"/>
          <w:szCs w:val="24"/>
        </w:rPr>
        <w:t>20,2 mln. Eur, likutinė – 7,1 mln. Eur.</w:t>
      </w:r>
    </w:p>
    <w:p w:rsidR="001363BF" w:rsidRDefault="001363BF" w:rsidP="001363BF">
      <w:pPr>
        <w:jc w:val="left"/>
        <w:rPr>
          <w:szCs w:val="24"/>
        </w:rPr>
      </w:pPr>
    </w:p>
    <w:p w:rsidR="001363BF" w:rsidRDefault="001363BF" w:rsidP="001363BF">
      <w:pPr>
        <w:jc w:val="center"/>
        <w:rPr>
          <w:b/>
          <w:szCs w:val="24"/>
        </w:rPr>
      </w:pPr>
      <w:r>
        <w:rPr>
          <w:b/>
          <w:szCs w:val="24"/>
        </w:rPr>
        <w:t xml:space="preserve">SAVIVALDYBEI SKIRTOS VALSTYBĖS BIUDŽETO LĖŠOS MELIORACIJOS </w:t>
      </w:r>
    </w:p>
    <w:p w:rsidR="001363BF" w:rsidRDefault="001363BF" w:rsidP="001363BF">
      <w:pPr>
        <w:jc w:val="center"/>
      </w:pPr>
      <w:r>
        <w:rPr>
          <w:b/>
          <w:szCs w:val="24"/>
        </w:rPr>
        <w:t>ĮRENGINIŲ PRIEŽIŪRAI, REMONTUI IR REKONSTRUKCIJAI</w:t>
      </w:r>
    </w:p>
    <w:p w:rsidR="001363BF" w:rsidRDefault="001363BF" w:rsidP="001363BF">
      <w:pPr>
        <w:jc w:val="center"/>
        <w:rPr>
          <w:b/>
          <w:szCs w:val="24"/>
        </w:rPr>
      </w:pPr>
    </w:p>
    <w:p w:rsidR="001363BF" w:rsidRDefault="001363BF" w:rsidP="001363BF">
      <w:pPr>
        <w:ind w:firstLine="0"/>
        <w:jc w:val="center"/>
        <w:rPr>
          <w:szCs w:val="24"/>
        </w:rPr>
      </w:pPr>
      <w:r>
        <w:rPr>
          <w:noProof/>
          <w:lang w:eastAsia="lt-LT"/>
        </w:rPr>
        <w:lastRenderedPageBreak/>
        <w:drawing>
          <wp:anchor distT="0" distB="0" distL="0" distR="0" simplePos="0" relativeHeight="251701248" behindDoc="0" locked="0" layoutInCell="1" allowOverlap="1">
            <wp:simplePos x="0" y="0"/>
            <wp:positionH relativeFrom="column">
              <wp:align>center</wp:align>
            </wp:positionH>
            <wp:positionV relativeFrom="paragraph">
              <wp:posOffset>0</wp:posOffset>
            </wp:positionV>
            <wp:extent cx="5483225" cy="2830195"/>
            <wp:effectExtent l="19050" t="0" r="3175" b="0"/>
            <wp:wrapTopAndBottom/>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a:srcRect/>
                    <a:stretch>
                      <a:fillRect/>
                    </a:stretch>
                  </pic:blipFill>
                  <pic:spPr bwMode="auto">
                    <a:xfrm>
                      <a:off x="0" y="0"/>
                      <a:ext cx="5483225" cy="2830195"/>
                    </a:xfrm>
                    <a:prstGeom prst="rect">
                      <a:avLst/>
                    </a:prstGeom>
                    <a:solidFill>
                      <a:srgbClr val="FFFFFF"/>
                    </a:solidFill>
                    <a:ln w="9525">
                      <a:noFill/>
                      <a:miter lim="800000"/>
                      <a:headEnd/>
                      <a:tailEnd/>
                    </a:ln>
                  </pic:spPr>
                </pic:pic>
              </a:graphicData>
            </a:graphic>
          </wp:anchor>
        </w:drawing>
      </w:r>
    </w:p>
    <w:p w:rsidR="001363BF" w:rsidRDefault="001363BF" w:rsidP="001363BF">
      <w:pPr>
        <w:jc w:val="center"/>
      </w:pPr>
      <w:r>
        <w:rPr>
          <w:b/>
          <w:szCs w:val="24"/>
        </w:rPr>
        <w:t>ATLIKTI MELIORACIJOS DARBAI</w:t>
      </w:r>
    </w:p>
    <w:p w:rsidR="001363BF" w:rsidRDefault="001363BF" w:rsidP="001363BF">
      <w:pPr>
        <w:ind w:firstLine="0"/>
      </w:pPr>
    </w:p>
    <w:p w:rsidR="001363BF" w:rsidRDefault="001363BF" w:rsidP="000A6ED0">
      <w:pPr>
        <w:numPr>
          <w:ilvl w:val="0"/>
          <w:numId w:val="8"/>
        </w:numPr>
        <w:suppressAutoHyphens/>
        <w:jc w:val="left"/>
      </w:pPr>
      <w:r>
        <w:t xml:space="preserve">Daugėdų, Kungių ir Užpelių kaimų teritorijose suremontuota  5,3 km magistralinių griovių, 6 vandens pralaidos. Naujai įrengtos 34 drenažo žiotys. </w:t>
      </w:r>
    </w:p>
    <w:p w:rsidR="001363BF" w:rsidRDefault="001363BF" w:rsidP="000A6ED0">
      <w:pPr>
        <w:numPr>
          <w:ilvl w:val="0"/>
          <w:numId w:val="8"/>
        </w:numPr>
        <w:suppressAutoHyphens/>
        <w:jc w:val="left"/>
      </w:pPr>
      <w:r>
        <w:t>Nušienauta 1,6 ha griovio šlaitų, pašalinta 2,51  ha krūmų.  Griovių priežiūros darbai atlikti 6,1 km. Atlikti Daugėdų sen. Daugėdų   I-II užtvankų priežiūros darbai.</w:t>
      </w:r>
    </w:p>
    <w:p w:rsidR="001363BF" w:rsidRDefault="001363BF" w:rsidP="000A6ED0">
      <w:pPr>
        <w:numPr>
          <w:ilvl w:val="0"/>
          <w:numId w:val="8"/>
        </w:numPr>
        <w:suppressAutoHyphens/>
        <w:jc w:val="left"/>
      </w:pPr>
      <w:r>
        <w:t>Avariniai melioracijos statinių remonto darbai atlikti 11  melioracijos objektų. Suremontuota 0,212  km didelio diametro drenažo rinktuvų, dvi vandens pralaidos.</w:t>
      </w:r>
    </w:p>
    <w:p w:rsidR="001363BF" w:rsidRDefault="001363BF" w:rsidP="000A6ED0">
      <w:pPr>
        <w:numPr>
          <w:ilvl w:val="0"/>
          <w:numId w:val="8"/>
        </w:numPr>
        <w:suppressAutoHyphens/>
        <w:jc w:val="left"/>
      </w:pPr>
      <w:r>
        <w:t>Pagerėjo gruntinio vandens režimas 238,0 ha žemės ūkio naudmenų plote.</w:t>
      </w:r>
    </w:p>
    <w:p w:rsidR="00E97ECA" w:rsidRPr="00630125" w:rsidRDefault="00E97ECA" w:rsidP="00E97ECA">
      <w:pPr>
        <w:jc w:val="right"/>
        <w:rPr>
          <w:i/>
          <w:szCs w:val="24"/>
        </w:rPr>
      </w:pPr>
    </w:p>
    <w:p w:rsidR="00E97ECA" w:rsidRPr="00630125" w:rsidRDefault="00E97ECA" w:rsidP="00E97ECA">
      <w:pPr>
        <w:rPr>
          <w:i/>
        </w:rPr>
      </w:pPr>
    </w:p>
    <w:p w:rsidR="00E97ECA" w:rsidRPr="003212DE" w:rsidRDefault="00E97ECA" w:rsidP="00E97ECA">
      <w:pPr>
        <w:ind w:firstLine="0"/>
        <w:jc w:val="center"/>
        <w:rPr>
          <w:b/>
        </w:rPr>
      </w:pPr>
      <w:r w:rsidRPr="003212DE">
        <w:rPr>
          <w:b/>
        </w:rPr>
        <w:t>STATYBA IR ŽEMĖTVARKA</w:t>
      </w:r>
    </w:p>
    <w:p w:rsidR="00E97ECA" w:rsidRPr="00630125" w:rsidRDefault="00E97ECA" w:rsidP="00E97ECA">
      <w:pPr>
        <w:rPr>
          <w:i/>
        </w:rPr>
      </w:pPr>
    </w:p>
    <w:p w:rsidR="00E97ECA" w:rsidRPr="00630125" w:rsidRDefault="003212DE" w:rsidP="00E97ECA">
      <w:pPr>
        <w:tabs>
          <w:tab w:val="left" w:pos="9214"/>
        </w:tabs>
        <w:ind w:right="850" w:firstLine="142"/>
        <w:rPr>
          <w:i/>
        </w:rPr>
      </w:pPr>
      <w:r w:rsidRPr="003212DE">
        <w:rPr>
          <w:i/>
          <w:noProof/>
          <w:szCs w:val="24"/>
          <w:lang w:eastAsia="lt-LT"/>
        </w:rPr>
        <w:drawing>
          <wp:inline distT="0" distB="0" distL="0" distR="0">
            <wp:extent cx="6028441" cy="1860605"/>
            <wp:effectExtent l="19050" t="0" r="10409" b="6295"/>
            <wp:docPr id="185" name="Object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3654F4" w:rsidRPr="00630125" w:rsidRDefault="003654F4" w:rsidP="00E97ECA">
      <w:pPr>
        <w:tabs>
          <w:tab w:val="left" w:pos="9214"/>
        </w:tabs>
        <w:ind w:right="850" w:firstLine="142"/>
        <w:rPr>
          <w:i/>
        </w:rPr>
      </w:pPr>
    </w:p>
    <w:tbl>
      <w:tblPr>
        <w:tblW w:w="10318" w:type="dxa"/>
        <w:jc w:val="center"/>
        <w:tblInd w:w="452" w:type="dxa"/>
        <w:tblBorders>
          <w:top w:val="single" w:sz="8" w:space="0" w:color="000000"/>
          <w:left w:val="single" w:sz="8" w:space="0" w:color="000000"/>
          <w:bottom w:val="single" w:sz="8" w:space="0" w:color="000000"/>
          <w:right w:val="single" w:sz="8" w:space="0" w:color="000000"/>
        </w:tblBorders>
        <w:tblLook w:val="04A0"/>
      </w:tblPr>
      <w:tblGrid>
        <w:gridCol w:w="4268"/>
        <w:gridCol w:w="253"/>
        <w:gridCol w:w="1985"/>
        <w:gridCol w:w="1842"/>
        <w:gridCol w:w="1970"/>
      </w:tblGrid>
      <w:tr w:rsidR="003212DE" w:rsidRPr="00B556D4" w:rsidTr="003212DE">
        <w:trPr>
          <w:jc w:val="center"/>
        </w:trPr>
        <w:tc>
          <w:tcPr>
            <w:tcW w:w="4268" w:type="dxa"/>
            <w:tcBorders>
              <w:top w:val="single" w:sz="8" w:space="0" w:color="000000"/>
              <w:left w:val="single" w:sz="8" w:space="0" w:color="000000"/>
              <w:bottom w:val="single" w:sz="8" w:space="0" w:color="000000"/>
            </w:tcBorders>
          </w:tcPr>
          <w:p w:rsidR="003212DE" w:rsidRPr="00B556D4" w:rsidRDefault="003212DE" w:rsidP="003212DE">
            <w:pPr>
              <w:jc w:val="center"/>
              <w:rPr>
                <w:b/>
                <w:bCs/>
                <w:color w:val="000000" w:themeColor="text1"/>
              </w:rPr>
            </w:pPr>
            <w:r w:rsidRPr="00B556D4">
              <w:rPr>
                <w:b/>
                <w:bCs/>
                <w:color w:val="000000" w:themeColor="text1"/>
              </w:rPr>
              <w:t>Dokumento pavadinimas</w:t>
            </w:r>
          </w:p>
        </w:tc>
        <w:tc>
          <w:tcPr>
            <w:tcW w:w="253" w:type="dxa"/>
            <w:tcBorders>
              <w:top w:val="single" w:sz="8" w:space="0" w:color="000000"/>
              <w:bottom w:val="single" w:sz="8" w:space="0" w:color="000000"/>
            </w:tcBorders>
          </w:tcPr>
          <w:p w:rsidR="003212DE" w:rsidRPr="00B556D4" w:rsidRDefault="003212DE" w:rsidP="003212DE">
            <w:pPr>
              <w:jc w:val="center"/>
              <w:rPr>
                <w:b/>
                <w:color w:val="000000" w:themeColor="text1"/>
              </w:rPr>
            </w:pPr>
          </w:p>
        </w:tc>
        <w:tc>
          <w:tcPr>
            <w:tcW w:w="1985" w:type="dxa"/>
            <w:tcBorders>
              <w:top w:val="single" w:sz="8" w:space="0" w:color="000000"/>
              <w:bottom w:val="single" w:sz="8" w:space="0" w:color="000000"/>
            </w:tcBorders>
          </w:tcPr>
          <w:p w:rsidR="003212DE" w:rsidRPr="00B556D4" w:rsidRDefault="003212DE" w:rsidP="003212DE">
            <w:pPr>
              <w:ind w:firstLine="0"/>
              <w:jc w:val="left"/>
              <w:rPr>
                <w:b/>
                <w:color w:val="000000" w:themeColor="text1"/>
              </w:rPr>
            </w:pPr>
            <w:r w:rsidRPr="00B556D4">
              <w:rPr>
                <w:b/>
                <w:color w:val="000000" w:themeColor="text1"/>
              </w:rPr>
              <w:t xml:space="preserve">Išduota </w:t>
            </w:r>
            <w:r>
              <w:rPr>
                <w:b/>
                <w:color w:val="000000" w:themeColor="text1"/>
              </w:rPr>
              <w:t>2</w:t>
            </w:r>
            <w:r w:rsidRPr="00B556D4">
              <w:rPr>
                <w:b/>
                <w:color w:val="000000" w:themeColor="text1"/>
              </w:rPr>
              <w:t>01</w:t>
            </w:r>
            <w:r>
              <w:rPr>
                <w:b/>
                <w:color w:val="000000" w:themeColor="text1"/>
              </w:rPr>
              <w:t>3</w:t>
            </w:r>
            <w:r w:rsidRPr="00B556D4">
              <w:rPr>
                <w:b/>
                <w:color w:val="000000" w:themeColor="text1"/>
              </w:rPr>
              <w:t xml:space="preserve"> m. (vnt.)</w:t>
            </w:r>
          </w:p>
        </w:tc>
        <w:tc>
          <w:tcPr>
            <w:tcW w:w="1842" w:type="dxa"/>
            <w:tcBorders>
              <w:top w:val="single" w:sz="8" w:space="0" w:color="000000"/>
              <w:bottom w:val="single" w:sz="8" w:space="0" w:color="000000"/>
              <w:right w:val="nil"/>
            </w:tcBorders>
          </w:tcPr>
          <w:p w:rsidR="003212DE" w:rsidRPr="00B556D4" w:rsidRDefault="003212DE" w:rsidP="003212DE">
            <w:pPr>
              <w:ind w:firstLine="0"/>
              <w:jc w:val="left"/>
              <w:rPr>
                <w:b/>
                <w:color w:val="000000" w:themeColor="text1"/>
              </w:rPr>
            </w:pPr>
            <w:r w:rsidRPr="00B556D4">
              <w:rPr>
                <w:b/>
                <w:color w:val="000000" w:themeColor="text1"/>
              </w:rPr>
              <w:t>Išduota 201</w:t>
            </w:r>
            <w:r>
              <w:rPr>
                <w:b/>
                <w:color w:val="000000" w:themeColor="text1"/>
              </w:rPr>
              <w:t>4</w:t>
            </w:r>
            <w:r w:rsidRPr="00B556D4">
              <w:rPr>
                <w:b/>
                <w:color w:val="000000" w:themeColor="text1"/>
              </w:rPr>
              <w:t xml:space="preserve"> m.</w:t>
            </w:r>
            <w:r>
              <w:rPr>
                <w:b/>
                <w:color w:val="000000" w:themeColor="text1"/>
              </w:rPr>
              <w:t xml:space="preserve"> </w:t>
            </w:r>
            <w:r w:rsidRPr="00B556D4">
              <w:rPr>
                <w:b/>
                <w:color w:val="000000" w:themeColor="text1"/>
              </w:rPr>
              <w:t>(vnt.)</w:t>
            </w:r>
          </w:p>
        </w:tc>
        <w:tc>
          <w:tcPr>
            <w:tcW w:w="1970" w:type="dxa"/>
            <w:tcBorders>
              <w:top w:val="single" w:sz="4" w:space="0" w:color="auto"/>
              <w:left w:val="nil"/>
              <w:bottom w:val="single" w:sz="4" w:space="0" w:color="auto"/>
              <w:right w:val="single" w:sz="4" w:space="0" w:color="auto"/>
            </w:tcBorders>
          </w:tcPr>
          <w:p w:rsidR="003212DE" w:rsidRPr="00B556D4" w:rsidRDefault="003212DE" w:rsidP="003212DE">
            <w:pPr>
              <w:ind w:firstLine="0"/>
              <w:jc w:val="left"/>
              <w:rPr>
                <w:b/>
                <w:color w:val="000000" w:themeColor="text1"/>
              </w:rPr>
            </w:pPr>
            <w:r w:rsidRPr="00B556D4">
              <w:rPr>
                <w:b/>
                <w:color w:val="000000" w:themeColor="text1"/>
              </w:rPr>
              <w:t>Išduota 201</w:t>
            </w:r>
            <w:r>
              <w:rPr>
                <w:b/>
                <w:color w:val="000000" w:themeColor="text1"/>
              </w:rPr>
              <w:t>5</w:t>
            </w:r>
            <w:r w:rsidRPr="00B556D4">
              <w:rPr>
                <w:b/>
                <w:color w:val="000000" w:themeColor="text1"/>
              </w:rPr>
              <w:t xml:space="preserve"> m. (vnt.)</w:t>
            </w:r>
          </w:p>
        </w:tc>
      </w:tr>
      <w:tr w:rsidR="003212DE" w:rsidRPr="00B556D4" w:rsidTr="003212DE">
        <w:trPr>
          <w:jc w:val="center"/>
        </w:trPr>
        <w:tc>
          <w:tcPr>
            <w:tcW w:w="4268" w:type="dxa"/>
            <w:tcBorders>
              <w:top w:val="single" w:sz="8" w:space="0" w:color="000000"/>
              <w:left w:val="single" w:sz="8" w:space="0" w:color="000000"/>
              <w:bottom w:val="single" w:sz="8" w:space="0" w:color="000000"/>
            </w:tcBorders>
          </w:tcPr>
          <w:p w:rsidR="003212DE" w:rsidRPr="00B556D4" w:rsidRDefault="003212DE" w:rsidP="003212DE">
            <w:pPr>
              <w:ind w:firstLine="0"/>
              <w:rPr>
                <w:bCs/>
                <w:color w:val="000000" w:themeColor="text1"/>
              </w:rPr>
            </w:pPr>
            <w:r w:rsidRPr="00B556D4">
              <w:rPr>
                <w:bCs/>
                <w:color w:val="000000" w:themeColor="text1"/>
              </w:rPr>
              <w:t>Suderinta topografinių nuotraukų</w:t>
            </w:r>
            <w:r>
              <w:rPr>
                <w:bCs/>
                <w:color w:val="000000" w:themeColor="text1"/>
              </w:rPr>
              <w:t xml:space="preserve"> (t. sk. ir kontrolinių geodezinių nuotraukų)</w:t>
            </w:r>
          </w:p>
        </w:tc>
        <w:tc>
          <w:tcPr>
            <w:tcW w:w="253" w:type="dxa"/>
            <w:tcBorders>
              <w:top w:val="single" w:sz="8" w:space="0" w:color="000000"/>
              <w:bottom w:val="single" w:sz="8" w:space="0" w:color="000000"/>
            </w:tcBorders>
          </w:tcPr>
          <w:p w:rsidR="003212DE" w:rsidRPr="00B556D4" w:rsidRDefault="003212DE" w:rsidP="003212DE">
            <w:pPr>
              <w:jc w:val="center"/>
              <w:rPr>
                <w:color w:val="000000" w:themeColor="text1"/>
              </w:rPr>
            </w:pPr>
          </w:p>
        </w:tc>
        <w:tc>
          <w:tcPr>
            <w:tcW w:w="1985" w:type="dxa"/>
            <w:tcBorders>
              <w:top w:val="single" w:sz="8" w:space="0" w:color="000000"/>
              <w:bottom w:val="single" w:sz="8" w:space="0" w:color="000000"/>
            </w:tcBorders>
          </w:tcPr>
          <w:p w:rsidR="003212DE" w:rsidRPr="00B556D4" w:rsidRDefault="003212DE" w:rsidP="003212DE">
            <w:pPr>
              <w:jc w:val="center"/>
              <w:rPr>
                <w:color w:val="000000" w:themeColor="text1"/>
              </w:rPr>
            </w:pPr>
            <w:r>
              <w:rPr>
                <w:color w:val="000000" w:themeColor="text1"/>
              </w:rPr>
              <w:t>9</w:t>
            </w:r>
            <w:r w:rsidRPr="00B556D4">
              <w:rPr>
                <w:color w:val="000000" w:themeColor="text1"/>
              </w:rPr>
              <w:t>8</w:t>
            </w:r>
          </w:p>
        </w:tc>
        <w:tc>
          <w:tcPr>
            <w:tcW w:w="1842" w:type="dxa"/>
            <w:tcBorders>
              <w:top w:val="single" w:sz="8" w:space="0" w:color="000000"/>
              <w:bottom w:val="single" w:sz="8" w:space="0" w:color="000000"/>
              <w:right w:val="nil"/>
            </w:tcBorders>
          </w:tcPr>
          <w:p w:rsidR="003212DE" w:rsidRPr="00B556D4" w:rsidRDefault="003212DE" w:rsidP="003212DE">
            <w:pPr>
              <w:jc w:val="center"/>
              <w:rPr>
                <w:color w:val="000000" w:themeColor="text1"/>
              </w:rPr>
            </w:pPr>
            <w:r w:rsidRPr="00B556D4">
              <w:rPr>
                <w:color w:val="000000" w:themeColor="text1"/>
              </w:rPr>
              <w:t>9</w:t>
            </w:r>
            <w:r>
              <w:rPr>
                <w:color w:val="000000" w:themeColor="text1"/>
              </w:rPr>
              <w:t>5</w:t>
            </w:r>
          </w:p>
        </w:tc>
        <w:tc>
          <w:tcPr>
            <w:tcW w:w="1970" w:type="dxa"/>
            <w:tcBorders>
              <w:top w:val="single" w:sz="4" w:space="0" w:color="auto"/>
              <w:left w:val="nil"/>
              <w:bottom w:val="single" w:sz="4" w:space="0" w:color="auto"/>
              <w:right w:val="single" w:sz="4" w:space="0" w:color="auto"/>
            </w:tcBorders>
          </w:tcPr>
          <w:p w:rsidR="003212DE" w:rsidRPr="00B556D4" w:rsidRDefault="003212DE" w:rsidP="003212DE">
            <w:pPr>
              <w:jc w:val="center"/>
              <w:rPr>
                <w:color w:val="000000" w:themeColor="text1"/>
              </w:rPr>
            </w:pPr>
            <w:r>
              <w:rPr>
                <w:color w:val="000000" w:themeColor="text1"/>
              </w:rPr>
              <w:t>74</w:t>
            </w:r>
          </w:p>
        </w:tc>
      </w:tr>
      <w:tr w:rsidR="003212DE" w:rsidRPr="00B556D4" w:rsidTr="003212DE">
        <w:trPr>
          <w:jc w:val="center"/>
        </w:trPr>
        <w:tc>
          <w:tcPr>
            <w:tcW w:w="4268" w:type="dxa"/>
          </w:tcPr>
          <w:p w:rsidR="003212DE" w:rsidRPr="00B556D4" w:rsidRDefault="003212DE" w:rsidP="003212DE">
            <w:pPr>
              <w:ind w:firstLine="0"/>
              <w:rPr>
                <w:bCs/>
                <w:color w:val="000000" w:themeColor="text1"/>
              </w:rPr>
            </w:pPr>
            <w:r>
              <w:rPr>
                <w:bCs/>
                <w:color w:val="000000" w:themeColor="text1"/>
              </w:rPr>
              <w:t>Pateik</w:t>
            </w:r>
            <w:r w:rsidRPr="00B556D4">
              <w:rPr>
                <w:bCs/>
                <w:color w:val="000000" w:themeColor="text1"/>
              </w:rPr>
              <w:t>ta paraiškų projektavimo sąlygoms gauti</w:t>
            </w:r>
          </w:p>
        </w:tc>
        <w:tc>
          <w:tcPr>
            <w:tcW w:w="253" w:type="dxa"/>
          </w:tcPr>
          <w:p w:rsidR="003212DE" w:rsidRPr="00B556D4" w:rsidRDefault="003212DE" w:rsidP="003212DE">
            <w:pPr>
              <w:jc w:val="center"/>
              <w:rPr>
                <w:color w:val="000000" w:themeColor="text1"/>
              </w:rPr>
            </w:pPr>
          </w:p>
        </w:tc>
        <w:tc>
          <w:tcPr>
            <w:tcW w:w="1985" w:type="dxa"/>
          </w:tcPr>
          <w:p w:rsidR="003212DE" w:rsidRPr="00B556D4" w:rsidRDefault="003212DE" w:rsidP="003212DE">
            <w:pPr>
              <w:jc w:val="center"/>
              <w:rPr>
                <w:color w:val="000000" w:themeColor="text1"/>
              </w:rPr>
            </w:pPr>
            <w:r w:rsidRPr="00B556D4">
              <w:rPr>
                <w:color w:val="000000" w:themeColor="text1"/>
              </w:rPr>
              <w:t>101</w:t>
            </w:r>
          </w:p>
        </w:tc>
        <w:tc>
          <w:tcPr>
            <w:tcW w:w="1842" w:type="dxa"/>
          </w:tcPr>
          <w:p w:rsidR="003212DE" w:rsidRPr="00B556D4" w:rsidRDefault="003212DE" w:rsidP="003212DE">
            <w:pPr>
              <w:jc w:val="center"/>
              <w:rPr>
                <w:color w:val="000000" w:themeColor="text1"/>
              </w:rPr>
            </w:pPr>
            <w:r w:rsidRPr="00B556D4">
              <w:rPr>
                <w:color w:val="000000" w:themeColor="text1"/>
              </w:rPr>
              <w:t>75</w:t>
            </w:r>
          </w:p>
        </w:tc>
        <w:tc>
          <w:tcPr>
            <w:tcW w:w="1970" w:type="dxa"/>
            <w:tcBorders>
              <w:top w:val="single" w:sz="4" w:space="0" w:color="auto"/>
              <w:bottom w:val="single" w:sz="4" w:space="0" w:color="auto"/>
            </w:tcBorders>
          </w:tcPr>
          <w:p w:rsidR="003212DE" w:rsidRPr="00B556D4" w:rsidRDefault="003212DE" w:rsidP="003212DE">
            <w:pPr>
              <w:jc w:val="center"/>
              <w:rPr>
                <w:color w:val="000000" w:themeColor="text1"/>
              </w:rPr>
            </w:pPr>
            <w:r>
              <w:rPr>
                <w:color w:val="000000" w:themeColor="text1"/>
              </w:rPr>
              <w:t>0</w:t>
            </w:r>
          </w:p>
        </w:tc>
      </w:tr>
      <w:tr w:rsidR="003212DE" w:rsidRPr="00B556D4" w:rsidTr="003212DE">
        <w:trPr>
          <w:jc w:val="center"/>
        </w:trPr>
        <w:tc>
          <w:tcPr>
            <w:tcW w:w="4268" w:type="dxa"/>
            <w:tcBorders>
              <w:top w:val="single" w:sz="8" w:space="0" w:color="000000"/>
              <w:left w:val="single" w:sz="8" w:space="0" w:color="000000"/>
              <w:bottom w:val="single" w:sz="8" w:space="0" w:color="000000"/>
            </w:tcBorders>
          </w:tcPr>
          <w:p w:rsidR="003212DE" w:rsidRPr="00B556D4" w:rsidRDefault="003212DE" w:rsidP="003212DE">
            <w:pPr>
              <w:ind w:firstLine="0"/>
              <w:rPr>
                <w:bCs/>
                <w:color w:val="000000" w:themeColor="text1"/>
              </w:rPr>
            </w:pPr>
            <w:r w:rsidRPr="00B556D4">
              <w:rPr>
                <w:bCs/>
                <w:color w:val="000000" w:themeColor="text1"/>
              </w:rPr>
              <w:t>Suderinta projektų NSK</w:t>
            </w:r>
          </w:p>
        </w:tc>
        <w:tc>
          <w:tcPr>
            <w:tcW w:w="253" w:type="dxa"/>
            <w:tcBorders>
              <w:top w:val="single" w:sz="8" w:space="0" w:color="000000"/>
              <w:bottom w:val="single" w:sz="8" w:space="0" w:color="000000"/>
            </w:tcBorders>
          </w:tcPr>
          <w:p w:rsidR="003212DE" w:rsidRPr="00B556D4" w:rsidRDefault="003212DE" w:rsidP="003212DE">
            <w:pPr>
              <w:jc w:val="center"/>
              <w:rPr>
                <w:color w:val="000000" w:themeColor="text1"/>
              </w:rPr>
            </w:pPr>
          </w:p>
        </w:tc>
        <w:tc>
          <w:tcPr>
            <w:tcW w:w="1985" w:type="dxa"/>
            <w:tcBorders>
              <w:top w:val="single" w:sz="8" w:space="0" w:color="000000"/>
              <w:bottom w:val="single" w:sz="8" w:space="0" w:color="000000"/>
            </w:tcBorders>
          </w:tcPr>
          <w:p w:rsidR="003212DE" w:rsidRPr="00B556D4" w:rsidRDefault="003212DE" w:rsidP="003212DE">
            <w:pPr>
              <w:jc w:val="center"/>
              <w:rPr>
                <w:color w:val="000000" w:themeColor="text1"/>
              </w:rPr>
            </w:pPr>
            <w:r w:rsidRPr="00B556D4">
              <w:rPr>
                <w:color w:val="000000" w:themeColor="text1"/>
              </w:rPr>
              <w:t>7</w:t>
            </w:r>
          </w:p>
        </w:tc>
        <w:tc>
          <w:tcPr>
            <w:tcW w:w="1842" w:type="dxa"/>
            <w:tcBorders>
              <w:top w:val="single" w:sz="8" w:space="0" w:color="000000"/>
              <w:bottom w:val="single" w:sz="8" w:space="0" w:color="000000"/>
              <w:right w:val="nil"/>
            </w:tcBorders>
          </w:tcPr>
          <w:p w:rsidR="003212DE" w:rsidRPr="00B556D4" w:rsidRDefault="003212DE" w:rsidP="003212DE">
            <w:pPr>
              <w:jc w:val="center"/>
              <w:rPr>
                <w:color w:val="000000" w:themeColor="text1"/>
              </w:rPr>
            </w:pPr>
            <w:r w:rsidRPr="00B556D4">
              <w:rPr>
                <w:color w:val="000000" w:themeColor="text1"/>
              </w:rPr>
              <w:t>9</w:t>
            </w:r>
          </w:p>
        </w:tc>
        <w:tc>
          <w:tcPr>
            <w:tcW w:w="1970" w:type="dxa"/>
            <w:tcBorders>
              <w:top w:val="single" w:sz="4" w:space="0" w:color="auto"/>
              <w:left w:val="nil"/>
              <w:bottom w:val="single" w:sz="4" w:space="0" w:color="auto"/>
              <w:right w:val="single" w:sz="4" w:space="0" w:color="auto"/>
            </w:tcBorders>
          </w:tcPr>
          <w:p w:rsidR="003212DE" w:rsidRPr="00B556D4" w:rsidRDefault="003212DE" w:rsidP="003212DE">
            <w:pPr>
              <w:jc w:val="center"/>
              <w:rPr>
                <w:color w:val="000000" w:themeColor="text1"/>
              </w:rPr>
            </w:pPr>
            <w:r>
              <w:rPr>
                <w:color w:val="000000" w:themeColor="text1"/>
              </w:rPr>
              <w:t>0</w:t>
            </w:r>
          </w:p>
        </w:tc>
      </w:tr>
      <w:tr w:rsidR="003212DE" w:rsidRPr="00B556D4" w:rsidTr="003212DE">
        <w:trPr>
          <w:jc w:val="center"/>
        </w:trPr>
        <w:tc>
          <w:tcPr>
            <w:tcW w:w="4268" w:type="dxa"/>
          </w:tcPr>
          <w:p w:rsidR="003212DE" w:rsidRPr="00B556D4" w:rsidRDefault="003212DE" w:rsidP="003212DE">
            <w:pPr>
              <w:ind w:firstLine="0"/>
              <w:rPr>
                <w:bCs/>
                <w:color w:val="000000" w:themeColor="text1"/>
              </w:rPr>
            </w:pPr>
            <w:r w:rsidRPr="00B556D4">
              <w:rPr>
                <w:bCs/>
                <w:color w:val="000000" w:themeColor="text1"/>
              </w:rPr>
              <w:t xml:space="preserve">Išduota </w:t>
            </w:r>
            <w:r>
              <w:rPr>
                <w:bCs/>
                <w:color w:val="000000" w:themeColor="text1"/>
              </w:rPr>
              <w:t xml:space="preserve">specialiųjų </w:t>
            </w:r>
            <w:r w:rsidRPr="00B556D4">
              <w:rPr>
                <w:bCs/>
                <w:color w:val="000000" w:themeColor="text1"/>
              </w:rPr>
              <w:t>architekt</w:t>
            </w:r>
            <w:r w:rsidRPr="00B556D4">
              <w:rPr>
                <w:bCs/>
                <w:color w:val="000000" w:themeColor="text1"/>
                <w:lang w:val="de-DE"/>
              </w:rPr>
              <w:t>ūr</w:t>
            </w:r>
            <w:r>
              <w:rPr>
                <w:bCs/>
                <w:color w:val="000000" w:themeColor="text1"/>
                <w:lang w:val="de-DE"/>
              </w:rPr>
              <w:t>os</w:t>
            </w:r>
            <w:r w:rsidRPr="00B556D4">
              <w:rPr>
                <w:bCs/>
                <w:color w:val="000000" w:themeColor="text1"/>
                <w:lang w:val="de-DE"/>
              </w:rPr>
              <w:t xml:space="preserve"> reikalavi</w:t>
            </w:r>
            <w:r w:rsidRPr="00B556D4">
              <w:rPr>
                <w:bCs/>
                <w:color w:val="000000" w:themeColor="text1"/>
              </w:rPr>
              <w:t>mų</w:t>
            </w:r>
          </w:p>
        </w:tc>
        <w:tc>
          <w:tcPr>
            <w:tcW w:w="253" w:type="dxa"/>
          </w:tcPr>
          <w:p w:rsidR="003212DE" w:rsidRPr="00B556D4" w:rsidRDefault="003212DE" w:rsidP="003212DE">
            <w:pPr>
              <w:jc w:val="center"/>
              <w:rPr>
                <w:color w:val="000000" w:themeColor="text1"/>
              </w:rPr>
            </w:pPr>
          </w:p>
        </w:tc>
        <w:tc>
          <w:tcPr>
            <w:tcW w:w="1985" w:type="dxa"/>
          </w:tcPr>
          <w:p w:rsidR="003212DE" w:rsidRPr="00B556D4" w:rsidRDefault="003212DE" w:rsidP="003212DE">
            <w:pPr>
              <w:jc w:val="center"/>
              <w:rPr>
                <w:color w:val="000000" w:themeColor="text1"/>
              </w:rPr>
            </w:pPr>
            <w:r w:rsidRPr="00B556D4">
              <w:rPr>
                <w:color w:val="000000" w:themeColor="text1"/>
              </w:rPr>
              <w:t>1</w:t>
            </w:r>
            <w:r>
              <w:rPr>
                <w:color w:val="000000" w:themeColor="text1"/>
              </w:rPr>
              <w:t>8</w:t>
            </w:r>
          </w:p>
        </w:tc>
        <w:tc>
          <w:tcPr>
            <w:tcW w:w="1842" w:type="dxa"/>
          </w:tcPr>
          <w:p w:rsidR="003212DE" w:rsidRPr="00B556D4" w:rsidRDefault="003212DE" w:rsidP="003212DE">
            <w:pPr>
              <w:jc w:val="center"/>
              <w:rPr>
                <w:color w:val="000000" w:themeColor="text1"/>
              </w:rPr>
            </w:pPr>
            <w:r>
              <w:rPr>
                <w:color w:val="000000" w:themeColor="text1"/>
              </w:rPr>
              <w:t>33</w:t>
            </w:r>
          </w:p>
        </w:tc>
        <w:tc>
          <w:tcPr>
            <w:tcW w:w="1970" w:type="dxa"/>
            <w:tcBorders>
              <w:top w:val="single" w:sz="4" w:space="0" w:color="auto"/>
              <w:bottom w:val="single" w:sz="4" w:space="0" w:color="auto"/>
            </w:tcBorders>
          </w:tcPr>
          <w:p w:rsidR="003212DE" w:rsidRPr="00B556D4" w:rsidRDefault="003212DE" w:rsidP="003212DE">
            <w:pPr>
              <w:jc w:val="center"/>
              <w:rPr>
                <w:color w:val="000000" w:themeColor="text1"/>
              </w:rPr>
            </w:pPr>
            <w:r w:rsidRPr="00B556D4">
              <w:rPr>
                <w:color w:val="000000" w:themeColor="text1"/>
              </w:rPr>
              <w:t>3</w:t>
            </w:r>
            <w:r>
              <w:rPr>
                <w:color w:val="000000" w:themeColor="text1"/>
              </w:rPr>
              <w:t>2</w:t>
            </w:r>
          </w:p>
        </w:tc>
      </w:tr>
      <w:tr w:rsidR="003212DE" w:rsidRPr="00B556D4" w:rsidTr="003212DE">
        <w:trPr>
          <w:jc w:val="center"/>
        </w:trPr>
        <w:tc>
          <w:tcPr>
            <w:tcW w:w="4268" w:type="dxa"/>
            <w:tcBorders>
              <w:top w:val="single" w:sz="8" w:space="0" w:color="000000"/>
              <w:left w:val="single" w:sz="8" w:space="0" w:color="000000"/>
              <w:bottom w:val="single" w:sz="8" w:space="0" w:color="000000"/>
            </w:tcBorders>
          </w:tcPr>
          <w:p w:rsidR="003212DE" w:rsidRPr="00B556D4" w:rsidRDefault="003212DE" w:rsidP="003212DE">
            <w:pPr>
              <w:ind w:firstLine="0"/>
              <w:rPr>
                <w:bCs/>
                <w:color w:val="000000" w:themeColor="text1"/>
              </w:rPr>
            </w:pPr>
            <w:r w:rsidRPr="00B556D4">
              <w:rPr>
                <w:bCs/>
                <w:color w:val="000000" w:themeColor="text1"/>
              </w:rPr>
              <w:t>Išduota</w:t>
            </w:r>
            <w:r>
              <w:rPr>
                <w:bCs/>
                <w:color w:val="000000" w:themeColor="text1"/>
              </w:rPr>
              <w:t xml:space="preserve"> s</w:t>
            </w:r>
            <w:r w:rsidRPr="00B556D4">
              <w:rPr>
                <w:bCs/>
                <w:color w:val="000000" w:themeColor="text1"/>
              </w:rPr>
              <w:t>tatyb</w:t>
            </w:r>
            <w:r>
              <w:rPr>
                <w:bCs/>
                <w:color w:val="000000" w:themeColor="text1"/>
              </w:rPr>
              <w:t>ą</w:t>
            </w:r>
            <w:r w:rsidRPr="00B556D4">
              <w:rPr>
                <w:bCs/>
                <w:color w:val="000000" w:themeColor="text1"/>
              </w:rPr>
              <w:t xml:space="preserve"> leidžiančių dokumentų </w:t>
            </w:r>
            <w:r>
              <w:rPr>
                <w:bCs/>
                <w:color w:val="000000" w:themeColor="text1"/>
              </w:rPr>
              <w:lastRenderedPageBreak/>
              <w:t>(leidimai statyti statinius, rašytiniai pritarimai statinių projektams)</w:t>
            </w:r>
          </w:p>
        </w:tc>
        <w:tc>
          <w:tcPr>
            <w:tcW w:w="253" w:type="dxa"/>
            <w:tcBorders>
              <w:top w:val="single" w:sz="8" w:space="0" w:color="000000"/>
              <w:bottom w:val="single" w:sz="8" w:space="0" w:color="000000"/>
            </w:tcBorders>
          </w:tcPr>
          <w:p w:rsidR="003212DE" w:rsidRPr="00B556D4" w:rsidRDefault="003212DE" w:rsidP="003212DE">
            <w:pPr>
              <w:jc w:val="center"/>
              <w:rPr>
                <w:color w:val="000000" w:themeColor="text1"/>
              </w:rPr>
            </w:pPr>
          </w:p>
        </w:tc>
        <w:tc>
          <w:tcPr>
            <w:tcW w:w="1985" w:type="dxa"/>
            <w:tcBorders>
              <w:top w:val="single" w:sz="8" w:space="0" w:color="000000"/>
              <w:bottom w:val="single" w:sz="8" w:space="0" w:color="000000"/>
            </w:tcBorders>
          </w:tcPr>
          <w:p w:rsidR="003212DE" w:rsidRPr="00B556D4" w:rsidRDefault="003212DE" w:rsidP="003212DE">
            <w:pPr>
              <w:jc w:val="center"/>
              <w:rPr>
                <w:color w:val="000000" w:themeColor="text1"/>
              </w:rPr>
            </w:pPr>
            <w:r>
              <w:rPr>
                <w:color w:val="000000" w:themeColor="text1"/>
              </w:rPr>
              <w:t>51</w:t>
            </w:r>
          </w:p>
        </w:tc>
        <w:tc>
          <w:tcPr>
            <w:tcW w:w="1842" w:type="dxa"/>
            <w:tcBorders>
              <w:top w:val="single" w:sz="8" w:space="0" w:color="000000"/>
              <w:bottom w:val="single" w:sz="8" w:space="0" w:color="000000"/>
              <w:right w:val="nil"/>
            </w:tcBorders>
          </w:tcPr>
          <w:p w:rsidR="003212DE" w:rsidRPr="00B556D4" w:rsidRDefault="003212DE" w:rsidP="003212DE">
            <w:pPr>
              <w:jc w:val="center"/>
              <w:rPr>
                <w:color w:val="000000" w:themeColor="text1"/>
              </w:rPr>
            </w:pPr>
            <w:r>
              <w:rPr>
                <w:color w:val="000000" w:themeColor="text1"/>
              </w:rPr>
              <w:t>43</w:t>
            </w:r>
          </w:p>
        </w:tc>
        <w:tc>
          <w:tcPr>
            <w:tcW w:w="1970" w:type="dxa"/>
            <w:tcBorders>
              <w:top w:val="single" w:sz="4" w:space="0" w:color="auto"/>
              <w:left w:val="nil"/>
              <w:bottom w:val="single" w:sz="4" w:space="0" w:color="auto"/>
              <w:right w:val="single" w:sz="4" w:space="0" w:color="auto"/>
            </w:tcBorders>
          </w:tcPr>
          <w:p w:rsidR="003212DE" w:rsidRPr="00B556D4" w:rsidRDefault="003212DE" w:rsidP="003212DE">
            <w:pPr>
              <w:jc w:val="center"/>
              <w:rPr>
                <w:color w:val="000000" w:themeColor="text1"/>
              </w:rPr>
            </w:pPr>
            <w:r w:rsidRPr="00B556D4">
              <w:rPr>
                <w:color w:val="000000" w:themeColor="text1"/>
              </w:rPr>
              <w:t>4</w:t>
            </w:r>
            <w:r>
              <w:rPr>
                <w:color w:val="000000" w:themeColor="text1"/>
              </w:rPr>
              <w:t>8</w:t>
            </w:r>
          </w:p>
        </w:tc>
      </w:tr>
    </w:tbl>
    <w:p w:rsidR="003212DE" w:rsidRDefault="003212DE" w:rsidP="003212DE">
      <w:pPr>
        <w:rPr>
          <w:b/>
          <w:szCs w:val="24"/>
        </w:rPr>
      </w:pPr>
    </w:p>
    <w:p w:rsidR="003212DE" w:rsidRDefault="003212DE" w:rsidP="003212DE">
      <w:pPr>
        <w:rPr>
          <w:b/>
          <w:szCs w:val="24"/>
        </w:rPr>
      </w:pPr>
      <w:r w:rsidRPr="0054486C">
        <w:rPr>
          <w:b/>
          <w:noProof/>
          <w:szCs w:val="24"/>
          <w:lang w:eastAsia="lt-LT"/>
        </w:rPr>
        <w:drawing>
          <wp:inline distT="0" distB="0" distL="0" distR="0">
            <wp:extent cx="5495069" cy="2353586"/>
            <wp:effectExtent l="19050" t="0" r="10381" b="8614"/>
            <wp:docPr id="186" name="Object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E97ECA" w:rsidRPr="00630125" w:rsidRDefault="00E97ECA" w:rsidP="00E97ECA">
      <w:pPr>
        <w:ind w:firstLine="0"/>
        <w:rPr>
          <w:i/>
          <w:szCs w:val="24"/>
        </w:rPr>
      </w:pPr>
    </w:p>
    <w:tbl>
      <w:tblPr>
        <w:tblStyle w:val="Lentelstinklelis"/>
        <w:tblW w:w="0" w:type="auto"/>
        <w:tblLook w:val="04A0"/>
      </w:tblPr>
      <w:tblGrid>
        <w:gridCol w:w="9714"/>
      </w:tblGrid>
      <w:tr w:rsidR="003212DE" w:rsidRPr="00B556D4" w:rsidTr="003212DE">
        <w:tc>
          <w:tcPr>
            <w:tcW w:w="10082" w:type="dxa"/>
          </w:tcPr>
          <w:p w:rsidR="003212DE" w:rsidRPr="00B556D4" w:rsidRDefault="003212DE" w:rsidP="003212DE">
            <w:pPr>
              <w:ind w:firstLine="0"/>
              <w:outlineLvl w:val="0"/>
              <w:rPr>
                <w:b/>
              </w:rPr>
            </w:pPr>
            <w:r w:rsidRPr="00B556D4">
              <w:rPr>
                <w:b/>
              </w:rPr>
              <w:t xml:space="preserve">Dokumento pavadinimas    </w:t>
            </w:r>
            <w:r>
              <w:rPr>
                <w:b/>
              </w:rPr>
              <w:t xml:space="preserve">                </w:t>
            </w:r>
            <w:r w:rsidRPr="00B556D4">
              <w:rPr>
                <w:b/>
              </w:rPr>
              <w:t>201</w:t>
            </w:r>
            <w:r>
              <w:rPr>
                <w:b/>
              </w:rPr>
              <w:t>3</w:t>
            </w:r>
            <w:r w:rsidRPr="00B556D4">
              <w:rPr>
                <w:b/>
              </w:rPr>
              <w:t xml:space="preserve"> m.</w:t>
            </w:r>
            <w:r>
              <w:rPr>
                <w:b/>
              </w:rPr>
              <w:t xml:space="preserve">                    </w:t>
            </w:r>
            <w:r w:rsidRPr="00B556D4">
              <w:rPr>
                <w:b/>
              </w:rPr>
              <w:t xml:space="preserve">       201</w:t>
            </w:r>
            <w:r>
              <w:rPr>
                <w:b/>
              </w:rPr>
              <w:t>4</w:t>
            </w:r>
            <w:r w:rsidRPr="00B556D4">
              <w:rPr>
                <w:b/>
              </w:rPr>
              <w:t xml:space="preserve"> m.         </w:t>
            </w:r>
            <w:r>
              <w:rPr>
                <w:b/>
              </w:rPr>
              <w:t xml:space="preserve">       </w:t>
            </w:r>
            <w:r w:rsidRPr="00B556D4">
              <w:rPr>
                <w:b/>
              </w:rPr>
              <w:t xml:space="preserve">       201</w:t>
            </w:r>
            <w:r>
              <w:rPr>
                <w:b/>
              </w:rPr>
              <w:t>5</w:t>
            </w:r>
            <w:r w:rsidRPr="00B556D4">
              <w:rPr>
                <w:b/>
              </w:rPr>
              <w:t xml:space="preserve"> m.                                     </w:t>
            </w:r>
            <w:r>
              <w:rPr>
                <w:b/>
              </w:rPr>
              <w:t xml:space="preserve">                               </w:t>
            </w:r>
          </w:p>
          <w:p w:rsidR="003212DE" w:rsidRPr="00B556D4" w:rsidRDefault="003212DE" w:rsidP="003212DE">
            <w:pPr>
              <w:outlineLvl w:val="0"/>
              <w:rPr>
                <w:b/>
              </w:rPr>
            </w:pPr>
            <w:r>
              <w:rPr>
                <w:b/>
              </w:rPr>
              <w:t xml:space="preserve">           </w:t>
            </w:r>
            <w:r w:rsidRPr="00B556D4">
              <w:rPr>
                <w:b/>
              </w:rPr>
              <w:t xml:space="preserve">                                                                        </w:t>
            </w:r>
          </w:p>
        </w:tc>
      </w:tr>
      <w:tr w:rsidR="003212DE" w:rsidRPr="00B556D4" w:rsidTr="003212DE">
        <w:tc>
          <w:tcPr>
            <w:tcW w:w="10082" w:type="dxa"/>
          </w:tcPr>
          <w:p w:rsidR="003212DE" w:rsidRPr="00B556D4" w:rsidRDefault="003212DE" w:rsidP="006A62B4">
            <w:pPr>
              <w:ind w:firstLine="0"/>
              <w:rPr>
                <w:b/>
                <w:szCs w:val="24"/>
              </w:rPr>
            </w:pPr>
            <w:r w:rsidRPr="00B556D4">
              <w:t>Suderint</w:t>
            </w:r>
            <w:r>
              <w:t xml:space="preserve">a žemės sklypo planų             </w:t>
            </w:r>
            <w:r w:rsidR="006A62B4">
              <w:t xml:space="preserve">    </w:t>
            </w:r>
            <w:r>
              <w:t>4</w:t>
            </w:r>
            <w:r w:rsidRPr="00B556D4">
              <w:t xml:space="preserve">0                                         </w:t>
            </w:r>
            <w:r>
              <w:t>8</w:t>
            </w:r>
            <w:r w:rsidRPr="00B556D4">
              <w:t xml:space="preserve">0           </w:t>
            </w:r>
            <w:r>
              <w:t xml:space="preserve">    </w:t>
            </w:r>
            <w:r w:rsidRPr="00B556D4">
              <w:t xml:space="preserve">                 </w:t>
            </w:r>
            <w:r>
              <w:t>10</w:t>
            </w:r>
            <w:r w:rsidRPr="00B556D4">
              <w:t>0</w:t>
            </w:r>
          </w:p>
        </w:tc>
      </w:tr>
      <w:tr w:rsidR="003212DE" w:rsidRPr="00B556D4" w:rsidTr="003212DE">
        <w:tc>
          <w:tcPr>
            <w:tcW w:w="10082" w:type="dxa"/>
          </w:tcPr>
          <w:p w:rsidR="003212DE" w:rsidRDefault="003212DE" w:rsidP="003212DE">
            <w:pPr>
              <w:ind w:firstLine="0"/>
              <w:outlineLvl w:val="0"/>
            </w:pPr>
            <w:r w:rsidRPr="00B556D4">
              <w:t xml:space="preserve">Išduotos ,,Planavimo sąlygos kaimo </w:t>
            </w:r>
          </w:p>
          <w:p w:rsidR="003212DE" w:rsidRDefault="003212DE" w:rsidP="003212DE">
            <w:pPr>
              <w:ind w:firstLine="0"/>
              <w:outlineLvl w:val="0"/>
            </w:pPr>
            <w:r w:rsidRPr="00B556D4">
              <w:t>Plėtros</w:t>
            </w:r>
            <w:r>
              <w:t xml:space="preserve"> </w:t>
            </w:r>
            <w:r w:rsidRPr="00B556D4">
              <w:t xml:space="preserve">žemėtvarkos projektui rengti“ </w:t>
            </w:r>
          </w:p>
          <w:p w:rsidR="003212DE" w:rsidRPr="00B556D4" w:rsidRDefault="003212DE" w:rsidP="006A62B4">
            <w:pPr>
              <w:ind w:firstLine="0"/>
              <w:outlineLvl w:val="0"/>
            </w:pPr>
            <w:r w:rsidRPr="00B556D4">
              <w:t>su NKP rei</w:t>
            </w:r>
            <w:r>
              <w:t xml:space="preserve">kalavimais    </w:t>
            </w:r>
            <w:r w:rsidRPr="00B556D4">
              <w:t xml:space="preserve"> </w:t>
            </w:r>
            <w:r>
              <w:t xml:space="preserve">                         2</w:t>
            </w:r>
            <w:r w:rsidRPr="00B556D4">
              <w:t xml:space="preserve">                </w:t>
            </w:r>
            <w:r>
              <w:t xml:space="preserve">  </w:t>
            </w:r>
            <w:r w:rsidRPr="00B556D4">
              <w:t xml:space="preserve">                 </w:t>
            </w:r>
            <w:r>
              <w:t xml:space="preserve"> </w:t>
            </w:r>
            <w:r w:rsidRPr="00B556D4">
              <w:t xml:space="preserve">       </w:t>
            </w:r>
            <w:r>
              <w:t>0</w:t>
            </w:r>
            <w:r w:rsidRPr="00B556D4">
              <w:t xml:space="preserve">   </w:t>
            </w:r>
            <w:r>
              <w:t xml:space="preserve">                               0</w:t>
            </w:r>
          </w:p>
        </w:tc>
      </w:tr>
      <w:tr w:rsidR="003212DE" w:rsidRPr="00B556D4" w:rsidTr="003212DE">
        <w:tc>
          <w:tcPr>
            <w:tcW w:w="10082" w:type="dxa"/>
          </w:tcPr>
          <w:p w:rsidR="003212DE" w:rsidRDefault="003212DE" w:rsidP="006A62B4">
            <w:pPr>
              <w:ind w:firstLine="0"/>
              <w:jc w:val="left"/>
            </w:pPr>
            <w:r w:rsidRPr="00B556D4">
              <w:t xml:space="preserve">Kultūros paveldo departamento </w:t>
            </w:r>
          </w:p>
          <w:p w:rsidR="003212DE" w:rsidRDefault="003212DE" w:rsidP="006A62B4">
            <w:pPr>
              <w:ind w:firstLine="0"/>
              <w:jc w:val="left"/>
            </w:pPr>
            <w:r w:rsidRPr="00B556D4">
              <w:t xml:space="preserve">prie Kultūros ministerijos </w:t>
            </w:r>
          </w:p>
          <w:p w:rsidR="003212DE" w:rsidRDefault="003212DE" w:rsidP="006A62B4">
            <w:pPr>
              <w:ind w:firstLine="0"/>
              <w:jc w:val="left"/>
            </w:pPr>
            <w:r w:rsidRPr="00B556D4">
              <w:t xml:space="preserve">Telšių teritoriniam padaliniui </w:t>
            </w:r>
            <w:r>
              <w:t xml:space="preserve">                            </w:t>
            </w:r>
            <w:r w:rsidR="006A62B4">
              <w:t xml:space="preserve">                        </w:t>
            </w:r>
            <w:r w:rsidRPr="00B556D4">
              <w:t xml:space="preserve">     </w:t>
            </w:r>
            <w:r>
              <w:t xml:space="preserve">                           </w:t>
            </w:r>
            <w:r w:rsidR="006A62B4">
              <w:t xml:space="preserve">                    </w:t>
            </w:r>
            <w:r>
              <w:t xml:space="preserve">   </w:t>
            </w:r>
            <w:r w:rsidRPr="00B556D4">
              <w:t>pateikta kultūros paveldo</w:t>
            </w:r>
          </w:p>
          <w:p w:rsidR="003212DE" w:rsidRPr="00B556D4" w:rsidRDefault="003212DE" w:rsidP="006A62B4">
            <w:pPr>
              <w:ind w:firstLine="0"/>
              <w:jc w:val="left"/>
            </w:pPr>
            <w:r w:rsidRPr="00B556D4">
              <w:t xml:space="preserve">būklės patikrinimo aktų          </w:t>
            </w:r>
            <w:r w:rsidR="006A62B4">
              <w:t xml:space="preserve">               14                                              14                              7</w:t>
            </w:r>
          </w:p>
        </w:tc>
      </w:tr>
      <w:tr w:rsidR="003212DE" w:rsidRPr="00B556D4" w:rsidTr="003212DE">
        <w:tc>
          <w:tcPr>
            <w:tcW w:w="10082" w:type="dxa"/>
          </w:tcPr>
          <w:p w:rsidR="003212DE" w:rsidRDefault="003212DE" w:rsidP="003212DE">
            <w:pPr>
              <w:ind w:firstLine="0"/>
              <w:outlineLvl w:val="0"/>
            </w:pPr>
            <w:r w:rsidRPr="00B556D4">
              <w:t xml:space="preserve">Į Kultūros vertybių registrą </w:t>
            </w:r>
          </w:p>
          <w:p w:rsidR="003212DE" w:rsidRPr="00B556D4" w:rsidRDefault="003212DE" w:rsidP="003212DE">
            <w:pPr>
              <w:ind w:firstLine="0"/>
              <w:outlineLvl w:val="0"/>
            </w:pPr>
            <w:r w:rsidRPr="00B556D4">
              <w:t xml:space="preserve">įtraukta kultūros objektų   </w:t>
            </w:r>
            <w:r>
              <w:t xml:space="preserve">                      1</w:t>
            </w:r>
            <w:r w:rsidRPr="00B556D4">
              <w:t xml:space="preserve">                                        </w:t>
            </w:r>
            <w:r>
              <w:t xml:space="preserve">           3</w:t>
            </w:r>
            <w:r w:rsidRPr="00B556D4">
              <w:t xml:space="preserve">                                   </w:t>
            </w:r>
            <w:r>
              <w:t xml:space="preserve"> 0</w:t>
            </w:r>
            <w:r w:rsidRPr="00B556D4">
              <w:t xml:space="preserve">     </w:t>
            </w:r>
          </w:p>
        </w:tc>
      </w:tr>
    </w:tbl>
    <w:p w:rsidR="003212DE" w:rsidRDefault="003212DE" w:rsidP="003212DE"/>
    <w:p w:rsidR="00E97ECA" w:rsidRPr="00630125" w:rsidRDefault="00E97ECA" w:rsidP="00E97ECA">
      <w:pPr>
        <w:rPr>
          <w:i/>
        </w:rPr>
      </w:pPr>
    </w:p>
    <w:p w:rsidR="006A62B4" w:rsidRPr="00D91C52" w:rsidRDefault="006A62B4" w:rsidP="006D327D">
      <w:pPr>
        <w:jc w:val="left"/>
        <w:rPr>
          <w:szCs w:val="24"/>
        </w:rPr>
      </w:pPr>
      <w:r w:rsidRPr="00D91C52">
        <w:rPr>
          <w:szCs w:val="24"/>
        </w:rPr>
        <w:t>Rietavo Šv. Arkangelo Mykolo bažnyčios (unikalus kodas Kultūros vertybių registre</w:t>
      </w:r>
      <w:r w:rsidRPr="00D91C52">
        <w:rPr>
          <w:i/>
          <w:szCs w:val="24"/>
        </w:rPr>
        <w:t xml:space="preserve"> </w:t>
      </w:r>
      <w:r w:rsidRPr="00D91C52">
        <w:rPr>
          <w:szCs w:val="24"/>
        </w:rPr>
        <w:t xml:space="preserve">15943) tęstiniai interjero konservavimo </w:t>
      </w:r>
      <w:r w:rsidR="004F7BA8">
        <w:rPr>
          <w:szCs w:val="24"/>
        </w:rPr>
        <w:t xml:space="preserve">ir </w:t>
      </w:r>
      <w:r w:rsidRPr="00D91C52">
        <w:rPr>
          <w:szCs w:val="24"/>
        </w:rPr>
        <w:t>restauravimo darbai (projekto patikslinimas):</w:t>
      </w:r>
    </w:p>
    <w:p w:rsidR="006A62B4" w:rsidRPr="00D91C52" w:rsidRDefault="006A62B4" w:rsidP="006D327D">
      <w:pPr>
        <w:jc w:val="left"/>
        <w:rPr>
          <w:szCs w:val="24"/>
        </w:rPr>
      </w:pPr>
      <w:r w:rsidRPr="00D91C52">
        <w:rPr>
          <w:szCs w:val="24"/>
        </w:rPr>
        <w:t xml:space="preserve">Kultūros paveldo departamentas skyrė 43 443 </w:t>
      </w:r>
      <w:r>
        <w:rPr>
          <w:szCs w:val="24"/>
        </w:rPr>
        <w:t>Eur.</w:t>
      </w:r>
    </w:p>
    <w:p w:rsidR="006A62B4" w:rsidRPr="00D91C52" w:rsidRDefault="006A62B4" w:rsidP="006D327D">
      <w:pPr>
        <w:jc w:val="left"/>
        <w:rPr>
          <w:szCs w:val="24"/>
        </w:rPr>
      </w:pPr>
      <w:r w:rsidRPr="00D91C52">
        <w:rPr>
          <w:szCs w:val="24"/>
        </w:rPr>
        <w:t xml:space="preserve">Rietavo savivaldybė – 869 </w:t>
      </w:r>
      <w:r>
        <w:rPr>
          <w:szCs w:val="24"/>
        </w:rPr>
        <w:t>Eur.</w:t>
      </w:r>
    </w:p>
    <w:p w:rsidR="006A62B4" w:rsidRPr="00D91C52" w:rsidRDefault="006A62B4" w:rsidP="006D327D">
      <w:pPr>
        <w:jc w:val="left"/>
        <w:rPr>
          <w:szCs w:val="24"/>
        </w:rPr>
      </w:pPr>
      <w:r w:rsidRPr="00D91C52">
        <w:rPr>
          <w:szCs w:val="24"/>
        </w:rPr>
        <w:t>Rietavo dvaro sodybos tvoros fragmentų (unikalus kodas Kultūros vertybių registre 27399) tvarkybos darbai:</w:t>
      </w:r>
    </w:p>
    <w:p w:rsidR="006A62B4" w:rsidRPr="00D91C52" w:rsidRDefault="006A62B4" w:rsidP="006D327D">
      <w:pPr>
        <w:jc w:val="left"/>
        <w:rPr>
          <w:szCs w:val="24"/>
        </w:rPr>
      </w:pPr>
      <w:r w:rsidRPr="00D91C52">
        <w:rPr>
          <w:szCs w:val="24"/>
        </w:rPr>
        <w:t xml:space="preserve">Kultūros paveldo departamentas skyrė 43 442 </w:t>
      </w:r>
      <w:r>
        <w:rPr>
          <w:szCs w:val="24"/>
        </w:rPr>
        <w:t>Eur.</w:t>
      </w:r>
    </w:p>
    <w:p w:rsidR="006A62B4" w:rsidRPr="00D91C52" w:rsidRDefault="006A62B4" w:rsidP="006D327D">
      <w:pPr>
        <w:jc w:val="left"/>
        <w:rPr>
          <w:szCs w:val="24"/>
        </w:rPr>
      </w:pPr>
      <w:r w:rsidRPr="00D91C52">
        <w:rPr>
          <w:szCs w:val="24"/>
        </w:rPr>
        <w:t xml:space="preserve">Rietavo savivaldybė – 4 000 </w:t>
      </w:r>
      <w:r>
        <w:rPr>
          <w:szCs w:val="24"/>
        </w:rPr>
        <w:t>Eur.</w:t>
      </w:r>
    </w:p>
    <w:p w:rsidR="006A62B4" w:rsidRPr="00D91C52" w:rsidRDefault="006A62B4" w:rsidP="006D327D">
      <w:pPr>
        <w:jc w:val="left"/>
        <w:rPr>
          <w:szCs w:val="24"/>
        </w:rPr>
      </w:pPr>
      <w:r w:rsidRPr="00D91C52">
        <w:rPr>
          <w:szCs w:val="24"/>
        </w:rPr>
        <w:t>Rietavo turizmo informacijos centrą per 2015 metų vasaros sezoną aplankė 436 turistai.</w:t>
      </w:r>
    </w:p>
    <w:p w:rsidR="006A62B4" w:rsidRPr="00D91C52" w:rsidRDefault="006A62B4" w:rsidP="006D327D">
      <w:pPr>
        <w:ind w:firstLine="709"/>
        <w:jc w:val="left"/>
        <w:rPr>
          <w:szCs w:val="24"/>
        </w:rPr>
      </w:pPr>
      <w:r w:rsidRPr="00D91C52">
        <w:rPr>
          <w:szCs w:val="24"/>
        </w:rPr>
        <w:t>2015 m. balandžio 16 d. Rietave suorganizuotas Tarptautinės paminklų ir paminklinių vietovių apsaugos dienos renginys.</w:t>
      </w:r>
    </w:p>
    <w:p w:rsidR="006A62B4" w:rsidRPr="00D91C52" w:rsidRDefault="006A62B4" w:rsidP="006D327D">
      <w:pPr>
        <w:ind w:firstLine="709"/>
        <w:jc w:val="left"/>
        <w:rPr>
          <w:szCs w:val="24"/>
        </w:rPr>
      </w:pPr>
      <w:r w:rsidRPr="00D91C52">
        <w:rPr>
          <w:szCs w:val="24"/>
        </w:rPr>
        <w:t xml:space="preserve">2015 m. rugpjūčio 25 d. su filmavimo grupe </w:t>
      </w:r>
      <w:r w:rsidR="00FF7318" w:rsidRPr="00D91C52">
        <w:rPr>
          <w:szCs w:val="24"/>
        </w:rPr>
        <w:t xml:space="preserve">dirbta </w:t>
      </w:r>
      <w:r w:rsidRPr="00D91C52">
        <w:rPr>
          <w:szCs w:val="24"/>
        </w:rPr>
        <w:t>Rietavo savivaldybės teritorijos lankomuose objektuose. Filmuota medžiaga laidų ciklui „Gyvenu čia“.</w:t>
      </w:r>
    </w:p>
    <w:p w:rsidR="006A62B4" w:rsidRPr="00D91C52" w:rsidRDefault="006A62B4" w:rsidP="006D327D">
      <w:pPr>
        <w:ind w:firstLine="709"/>
        <w:jc w:val="left"/>
        <w:rPr>
          <w:szCs w:val="24"/>
        </w:rPr>
      </w:pPr>
      <w:r w:rsidRPr="00D91C52">
        <w:rPr>
          <w:szCs w:val="24"/>
        </w:rPr>
        <w:t>Mykolo Kleopo Oginskio 250-ųjų metininių paminėjimo renginiams pagaminti ir išleisti magnetukai ir skirtukai (Mykolas Kleopas Oginskis, Irenėjus ir Bogdanas Oginskiai).</w:t>
      </w:r>
    </w:p>
    <w:p w:rsidR="006A62B4" w:rsidRPr="00D91C52" w:rsidRDefault="006A62B4" w:rsidP="006D327D">
      <w:pPr>
        <w:ind w:firstLine="709"/>
        <w:jc w:val="left"/>
        <w:rPr>
          <w:szCs w:val="24"/>
        </w:rPr>
      </w:pPr>
      <w:r w:rsidRPr="00D91C52">
        <w:rPr>
          <w:szCs w:val="24"/>
        </w:rPr>
        <w:t xml:space="preserve">Kas ketvirtį Nacionalinei žemės ūkio tarnybai prie Žemės ūkio ministerijos </w:t>
      </w:r>
      <w:r w:rsidR="00FF7318" w:rsidRPr="00D91C52">
        <w:rPr>
          <w:szCs w:val="24"/>
        </w:rPr>
        <w:t xml:space="preserve">teikiamos ataskaitos </w:t>
      </w:r>
      <w:r w:rsidRPr="00D91C52">
        <w:rPr>
          <w:szCs w:val="24"/>
        </w:rPr>
        <w:t>geodezijos klausimais.</w:t>
      </w:r>
    </w:p>
    <w:p w:rsidR="006A62B4" w:rsidRPr="00D91C52" w:rsidRDefault="006A62B4" w:rsidP="006D327D">
      <w:pPr>
        <w:ind w:firstLine="709"/>
        <w:jc w:val="left"/>
        <w:rPr>
          <w:szCs w:val="24"/>
        </w:rPr>
      </w:pPr>
      <w:r w:rsidRPr="00D91C52">
        <w:rPr>
          <w:szCs w:val="24"/>
        </w:rPr>
        <w:t>Teik</w:t>
      </w:r>
      <w:r>
        <w:rPr>
          <w:szCs w:val="24"/>
        </w:rPr>
        <w:t>i</w:t>
      </w:r>
      <w:r w:rsidRPr="00D91C52">
        <w:rPr>
          <w:szCs w:val="24"/>
        </w:rPr>
        <w:t>amos ataskaitos Telšių teritorijų planavimo ir statybos valstybinės priežiūros skyriui.</w:t>
      </w:r>
    </w:p>
    <w:p w:rsidR="006A62B4" w:rsidRPr="00D91C52" w:rsidRDefault="006A62B4" w:rsidP="006D327D">
      <w:pPr>
        <w:ind w:firstLine="709"/>
        <w:jc w:val="left"/>
        <w:rPr>
          <w:szCs w:val="24"/>
        </w:rPr>
      </w:pPr>
      <w:r w:rsidRPr="00D91C52">
        <w:rPr>
          <w:szCs w:val="24"/>
        </w:rPr>
        <w:lastRenderedPageBreak/>
        <w:t>Sudarytas civilinio mobilizacinio rezervo asmenų sąrašas, Rietavo savivaldybės detalusis įslaptinamos informacijos sąrašas. Parengtas vienas įslaptintų dokumentų išslaptinimo aktas.</w:t>
      </w:r>
    </w:p>
    <w:p w:rsidR="006A62B4" w:rsidRPr="00D91C52" w:rsidRDefault="006A62B4" w:rsidP="006D327D">
      <w:pPr>
        <w:jc w:val="left"/>
        <w:rPr>
          <w:szCs w:val="24"/>
        </w:rPr>
      </w:pPr>
      <w:r w:rsidRPr="00D91C52">
        <w:rPr>
          <w:szCs w:val="24"/>
        </w:rPr>
        <w:t>Suteikti 53 nauji adresai Rietavo savivaldybės teritorijoje.</w:t>
      </w:r>
    </w:p>
    <w:p w:rsidR="006A62B4" w:rsidRPr="00D91C52" w:rsidRDefault="006A62B4" w:rsidP="006D327D">
      <w:pPr>
        <w:jc w:val="left"/>
        <w:rPr>
          <w:szCs w:val="24"/>
        </w:rPr>
      </w:pPr>
      <w:r w:rsidRPr="00D91C52">
        <w:rPr>
          <w:szCs w:val="24"/>
        </w:rPr>
        <w:t>Suderinti ir patvirtinti 8 žemės sklypų formavimo ir pertvarkymo projektai.</w:t>
      </w:r>
    </w:p>
    <w:p w:rsidR="006A62B4" w:rsidRPr="00D91C52" w:rsidRDefault="006A62B4" w:rsidP="006D327D">
      <w:pPr>
        <w:jc w:val="left"/>
        <w:rPr>
          <w:szCs w:val="24"/>
        </w:rPr>
      </w:pPr>
      <w:r w:rsidRPr="00D91C52">
        <w:rPr>
          <w:szCs w:val="24"/>
        </w:rPr>
        <w:t>Parengti 6 administracijos direktoriaus įsakymų projektai dėl žemės sklypų paskirties pakeitimo.</w:t>
      </w:r>
    </w:p>
    <w:p w:rsidR="006A62B4" w:rsidRPr="00D91C52" w:rsidRDefault="006A62B4" w:rsidP="006D327D">
      <w:pPr>
        <w:jc w:val="left"/>
        <w:rPr>
          <w:szCs w:val="24"/>
        </w:rPr>
      </w:pPr>
      <w:r w:rsidRPr="00D91C52">
        <w:rPr>
          <w:szCs w:val="24"/>
        </w:rPr>
        <w:t>Parengta 18 projektavimo reikalavimų ir pateikti visi prašymai, atliktos formavimo pertvarkymo projektų viešinimo ir derinimo procedūros per (ŽPDRIS).</w:t>
      </w:r>
    </w:p>
    <w:p w:rsidR="006A62B4" w:rsidRPr="00D91C52" w:rsidRDefault="006A62B4" w:rsidP="006D327D">
      <w:pPr>
        <w:ind w:firstLine="709"/>
        <w:jc w:val="left"/>
        <w:rPr>
          <w:szCs w:val="24"/>
        </w:rPr>
      </w:pPr>
      <w:r w:rsidRPr="00D91C52">
        <w:rPr>
          <w:szCs w:val="24"/>
        </w:rPr>
        <w:t xml:space="preserve">Nuolat pagal pareigybes </w:t>
      </w:r>
      <w:r w:rsidR="00FF7318">
        <w:rPr>
          <w:szCs w:val="24"/>
        </w:rPr>
        <w:t>vyksta</w:t>
      </w:r>
      <w:r w:rsidRPr="00D91C52">
        <w:rPr>
          <w:szCs w:val="24"/>
        </w:rPr>
        <w:t xml:space="preserve"> intensyvus susirašinėjimas elektroninėje erdvėje su įvairiomis institucijomis; gyventojų konsultavimas teritorijų planavimo, žemės sklypų formavimo ir pertvarkymo, adresų suteikimo ir keitimo, geodezijos, paminklotvarkos, statybos ir architektūros klausimais; dalyvavimas konferencijose, seminaruose, mokymuose, pasitarimuose; darbas informacinėse „Infostatyba“, ŽPDRIS, TPDR, TPDRIS, registrų cento adresų ir nekilnojamojo turto sistemose, puslapio REGIA a</w:t>
      </w:r>
      <w:bookmarkStart w:id="0" w:name="_GoBack"/>
      <w:bookmarkEnd w:id="0"/>
      <w:r w:rsidRPr="00D91C52">
        <w:rPr>
          <w:szCs w:val="24"/>
        </w:rPr>
        <w:t>dministravimas.</w:t>
      </w:r>
    </w:p>
    <w:p w:rsidR="006A62B4" w:rsidRPr="006A62B4" w:rsidRDefault="006A62B4" w:rsidP="006D327D">
      <w:pPr>
        <w:pStyle w:val="prastasistinklapis"/>
        <w:spacing w:before="0" w:beforeAutospacing="0" w:after="0" w:afterAutospacing="0"/>
        <w:rPr>
          <w:rFonts w:ascii="Times New Roman" w:hAnsi="Times New Roman" w:cs="Times New Roman"/>
          <w:sz w:val="24"/>
          <w:szCs w:val="24"/>
        </w:rPr>
      </w:pPr>
      <w:r>
        <w:rPr>
          <w:rFonts w:ascii="Times New Roman" w:hAnsi="Times New Roman" w:cs="Times New Roman"/>
          <w:sz w:val="24"/>
          <w:szCs w:val="24"/>
        </w:rPr>
        <w:t xml:space="preserve">            </w:t>
      </w:r>
      <w:r w:rsidRPr="006A62B4">
        <w:rPr>
          <w:rFonts w:ascii="Times New Roman" w:hAnsi="Times New Roman" w:cs="Times New Roman"/>
          <w:sz w:val="24"/>
          <w:szCs w:val="24"/>
        </w:rPr>
        <w:t>Tverų turizmo centro darbų ataskaita</w:t>
      </w:r>
      <w:r>
        <w:rPr>
          <w:rFonts w:ascii="Times New Roman" w:hAnsi="Times New Roman" w:cs="Times New Roman"/>
          <w:sz w:val="24"/>
          <w:szCs w:val="24"/>
        </w:rPr>
        <w:t>: p</w:t>
      </w:r>
      <w:r w:rsidRPr="006A62B4">
        <w:rPr>
          <w:rFonts w:ascii="Times New Roman" w:hAnsi="Times New Roman" w:cs="Times New Roman"/>
          <w:sz w:val="24"/>
          <w:szCs w:val="24"/>
        </w:rPr>
        <w:t>ravesta ekskursijų Tveruose, Lopaičių e</w:t>
      </w:r>
      <w:r>
        <w:rPr>
          <w:rFonts w:ascii="Times New Roman" w:hAnsi="Times New Roman" w:cs="Times New Roman"/>
          <w:sz w:val="24"/>
          <w:szCs w:val="24"/>
        </w:rPr>
        <w:t xml:space="preserve">tnomitologiniame komplekse – 83, </w:t>
      </w:r>
      <w:r w:rsidRPr="006A62B4">
        <w:rPr>
          <w:rFonts w:ascii="Times New Roman" w:hAnsi="Times New Roman" w:cs="Times New Roman"/>
          <w:sz w:val="24"/>
          <w:szCs w:val="24"/>
        </w:rPr>
        <w:t xml:space="preserve">ekskursijų Tverų kraštotyros muziejuje </w:t>
      </w:r>
      <w:r>
        <w:rPr>
          <w:rFonts w:ascii="Times New Roman" w:hAnsi="Times New Roman" w:cs="Times New Roman"/>
          <w:sz w:val="24"/>
          <w:szCs w:val="24"/>
        </w:rPr>
        <w:t>–</w:t>
      </w:r>
      <w:r w:rsidRPr="006A62B4">
        <w:rPr>
          <w:rFonts w:ascii="Times New Roman" w:hAnsi="Times New Roman" w:cs="Times New Roman"/>
          <w:sz w:val="24"/>
          <w:szCs w:val="24"/>
        </w:rPr>
        <w:t xml:space="preserve"> 21</w:t>
      </w:r>
      <w:r>
        <w:rPr>
          <w:rFonts w:ascii="Times New Roman" w:hAnsi="Times New Roman" w:cs="Times New Roman"/>
          <w:sz w:val="24"/>
          <w:szCs w:val="24"/>
        </w:rPr>
        <w:t>, e</w:t>
      </w:r>
      <w:r w:rsidRPr="006A62B4">
        <w:rPr>
          <w:rFonts w:ascii="Times New Roman" w:hAnsi="Times New Roman" w:cs="Times New Roman"/>
          <w:sz w:val="24"/>
          <w:szCs w:val="24"/>
        </w:rPr>
        <w:t>kskursijose dalyvavusių žmonių sk.</w:t>
      </w:r>
      <w:r>
        <w:rPr>
          <w:rFonts w:ascii="Times New Roman" w:hAnsi="Times New Roman" w:cs="Times New Roman"/>
          <w:sz w:val="24"/>
          <w:szCs w:val="24"/>
        </w:rPr>
        <w:t xml:space="preserve"> – </w:t>
      </w:r>
      <w:r w:rsidRPr="006A62B4">
        <w:rPr>
          <w:rFonts w:ascii="Times New Roman" w:hAnsi="Times New Roman" w:cs="Times New Roman"/>
          <w:sz w:val="24"/>
          <w:szCs w:val="24"/>
        </w:rPr>
        <w:t xml:space="preserve"> 2873</w:t>
      </w:r>
      <w:r>
        <w:rPr>
          <w:rFonts w:ascii="Times New Roman" w:hAnsi="Times New Roman" w:cs="Times New Roman"/>
          <w:sz w:val="24"/>
          <w:szCs w:val="24"/>
        </w:rPr>
        <w:t>, s</w:t>
      </w:r>
      <w:r w:rsidRPr="006A62B4">
        <w:rPr>
          <w:rFonts w:ascii="Times New Roman" w:hAnsi="Times New Roman" w:cs="Times New Roman"/>
          <w:sz w:val="24"/>
          <w:szCs w:val="24"/>
        </w:rPr>
        <w:t xml:space="preserve">uorganizuotas festivalis prie Lopaičių piliakalnio </w:t>
      </w:r>
      <w:r>
        <w:rPr>
          <w:rFonts w:ascii="Times New Roman" w:hAnsi="Times New Roman" w:cs="Times New Roman"/>
          <w:sz w:val="24"/>
          <w:szCs w:val="24"/>
        </w:rPr>
        <w:t>–</w:t>
      </w:r>
      <w:r w:rsidRPr="006A62B4">
        <w:rPr>
          <w:rFonts w:ascii="Times New Roman" w:hAnsi="Times New Roman" w:cs="Times New Roman"/>
          <w:sz w:val="24"/>
          <w:szCs w:val="24"/>
        </w:rPr>
        <w:t>1</w:t>
      </w:r>
      <w:r>
        <w:rPr>
          <w:rFonts w:ascii="Times New Roman" w:hAnsi="Times New Roman" w:cs="Times New Roman"/>
          <w:sz w:val="24"/>
          <w:szCs w:val="24"/>
        </w:rPr>
        <w:t>, p</w:t>
      </w:r>
      <w:r w:rsidRPr="006A62B4">
        <w:rPr>
          <w:rFonts w:ascii="Times New Roman" w:hAnsi="Times New Roman" w:cs="Times New Roman"/>
          <w:sz w:val="24"/>
          <w:szCs w:val="24"/>
        </w:rPr>
        <w:t xml:space="preserve">ateiktas projektas  Kultūros rėmimo fondui festivaliui prie Lopaičių piliakalnio 2016 m. </w:t>
      </w:r>
      <w:r>
        <w:rPr>
          <w:rFonts w:ascii="Times New Roman" w:hAnsi="Times New Roman" w:cs="Times New Roman"/>
          <w:sz w:val="24"/>
          <w:szCs w:val="24"/>
        </w:rPr>
        <w:t>–</w:t>
      </w:r>
      <w:r w:rsidRPr="006A62B4">
        <w:rPr>
          <w:rFonts w:ascii="Times New Roman" w:hAnsi="Times New Roman" w:cs="Times New Roman"/>
          <w:sz w:val="24"/>
          <w:szCs w:val="24"/>
        </w:rPr>
        <w:t xml:space="preserve"> 1</w:t>
      </w:r>
      <w:r>
        <w:rPr>
          <w:rFonts w:ascii="Times New Roman" w:hAnsi="Times New Roman" w:cs="Times New Roman"/>
          <w:sz w:val="24"/>
          <w:szCs w:val="24"/>
        </w:rPr>
        <w:t>.</w:t>
      </w:r>
    </w:p>
    <w:p w:rsidR="006A62B4" w:rsidRPr="00D91C52" w:rsidRDefault="006A62B4" w:rsidP="006A62B4">
      <w:pPr>
        <w:rPr>
          <w:szCs w:val="24"/>
        </w:rPr>
      </w:pPr>
    </w:p>
    <w:p w:rsidR="006D6A31" w:rsidRPr="002615EF" w:rsidRDefault="006D6A31" w:rsidP="006D6A31">
      <w:pPr>
        <w:ind w:firstLine="0"/>
        <w:jc w:val="center"/>
      </w:pPr>
      <w:r w:rsidRPr="002615EF">
        <w:rPr>
          <w:b/>
        </w:rPr>
        <w:t>KOMUNALINIŲ PASLAUGŲ TEIKIMAS</w:t>
      </w:r>
    </w:p>
    <w:p w:rsidR="006D6A31" w:rsidRPr="00D5485B" w:rsidRDefault="006D6A31" w:rsidP="006D6A31">
      <w:pPr>
        <w:ind w:firstLine="0"/>
        <w:rPr>
          <w:i/>
          <w:szCs w:val="24"/>
        </w:rPr>
      </w:pPr>
    </w:p>
    <w:p w:rsidR="006D6A31" w:rsidRDefault="006D6A31" w:rsidP="006D327D">
      <w:pPr>
        <w:pStyle w:val="Pagrindinistekstas"/>
        <w:tabs>
          <w:tab w:val="left" w:pos="1136"/>
        </w:tabs>
        <w:ind w:right="0" w:firstLine="709"/>
        <w:jc w:val="left"/>
        <w:rPr>
          <w:b w:val="0"/>
          <w:sz w:val="24"/>
        </w:rPr>
      </w:pPr>
      <w:r w:rsidRPr="002615EF">
        <w:rPr>
          <w:b w:val="0"/>
          <w:sz w:val="24"/>
          <w:szCs w:val="24"/>
        </w:rPr>
        <w:t xml:space="preserve">Uždaroji akcinė bendrovė „Rietavo komunalinis ūkis“ veiklą vykdo nuo 2000-08-01. Pagrindinis įmonės tikslas – teikti centralizuotos šilumos, vandens tiekimo ir nuotekų tvarkymo paslaugas Rietavo miesto ir Savivaldybės gyventojams. </w:t>
      </w:r>
      <w:r w:rsidRPr="0085304B">
        <w:rPr>
          <w:b w:val="0"/>
          <w:sz w:val="24"/>
        </w:rPr>
        <w:t>I</w:t>
      </w:r>
      <w:r>
        <w:rPr>
          <w:b w:val="0"/>
          <w:sz w:val="24"/>
        </w:rPr>
        <w:t>š savo veiklos šilumos ūkis 2015</w:t>
      </w:r>
      <w:r w:rsidRPr="0085304B">
        <w:rPr>
          <w:b w:val="0"/>
          <w:sz w:val="24"/>
        </w:rPr>
        <w:t xml:space="preserve"> metais uždirbo </w:t>
      </w:r>
      <w:r>
        <w:rPr>
          <w:b w:val="0"/>
          <w:sz w:val="24"/>
        </w:rPr>
        <w:t>420,1</w:t>
      </w:r>
      <w:r w:rsidRPr="0085304B">
        <w:rPr>
          <w:b w:val="0"/>
          <w:sz w:val="24"/>
        </w:rPr>
        <w:t xml:space="preserve">  </w:t>
      </w:r>
      <w:r>
        <w:rPr>
          <w:b w:val="0"/>
          <w:sz w:val="24"/>
        </w:rPr>
        <w:t>tūkst. Eur</w:t>
      </w:r>
      <w:r w:rsidRPr="0085304B">
        <w:rPr>
          <w:b w:val="0"/>
          <w:sz w:val="24"/>
        </w:rPr>
        <w:t xml:space="preserve"> pajamų, tai – </w:t>
      </w:r>
      <w:r>
        <w:rPr>
          <w:b w:val="0"/>
          <w:sz w:val="24"/>
        </w:rPr>
        <w:t>65,2 tūkst. Eur</w:t>
      </w:r>
      <w:r w:rsidRPr="0085304B">
        <w:rPr>
          <w:b w:val="0"/>
          <w:sz w:val="24"/>
        </w:rPr>
        <w:t xml:space="preserve"> arba </w:t>
      </w:r>
      <w:r>
        <w:rPr>
          <w:b w:val="0"/>
          <w:sz w:val="24"/>
        </w:rPr>
        <w:t>13,4 proc. mažiau negu 2014 metais (2014 metų pajamos –  485,4 tūkst. Eur</w:t>
      </w:r>
      <w:r w:rsidRPr="0085304B">
        <w:rPr>
          <w:b w:val="0"/>
          <w:sz w:val="24"/>
        </w:rPr>
        <w:t>).</w:t>
      </w:r>
    </w:p>
    <w:p w:rsidR="006D6A31" w:rsidRDefault="006D6A31" w:rsidP="006D6A31">
      <w:pPr>
        <w:pStyle w:val="Pagrindinistekstas"/>
        <w:tabs>
          <w:tab w:val="left" w:pos="1136"/>
        </w:tabs>
        <w:ind w:right="0" w:firstLine="709"/>
        <w:jc w:val="both"/>
        <w:rPr>
          <w:b w:val="0"/>
          <w:i/>
          <w:sz w:val="24"/>
          <w:szCs w:val="24"/>
        </w:rPr>
      </w:pPr>
    </w:p>
    <w:p w:rsidR="006D6A31" w:rsidRDefault="006D6A31" w:rsidP="006D6A31">
      <w:pPr>
        <w:pStyle w:val="Pagrindinistekstas"/>
        <w:tabs>
          <w:tab w:val="left" w:pos="1136"/>
        </w:tabs>
        <w:ind w:right="0" w:firstLine="709"/>
        <w:jc w:val="both"/>
        <w:rPr>
          <w:b w:val="0"/>
          <w:sz w:val="24"/>
          <w:szCs w:val="24"/>
        </w:rPr>
      </w:pPr>
    </w:p>
    <w:p w:rsidR="006D6A31" w:rsidRPr="00EB6525" w:rsidRDefault="006D6A31" w:rsidP="006D6A31">
      <w:pPr>
        <w:pStyle w:val="Pagrindinistekstas"/>
        <w:tabs>
          <w:tab w:val="left" w:pos="1136"/>
        </w:tabs>
        <w:ind w:right="0"/>
        <w:jc w:val="both"/>
        <w:rPr>
          <w:b w:val="0"/>
          <w:sz w:val="24"/>
          <w:szCs w:val="24"/>
        </w:rPr>
      </w:pPr>
      <w:r w:rsidRPr="00A35D53">
        <w:rPr>
          <w:b w:val="0"/>
          <w:noProof/>
          <w:sz w:val="24"/>
          <w:szCs w:val="24"/>
          <w:lang w:eastAsia="lt-LT"/>
        </w:rPr>
        <w:drawing>
          <wp:inline distT="0" distB="0" distL="0" distR="0">
            <wp:extent cx="6120130" cy="4142074"/>
            <wp:effectExtent l="19050" t="0" r="13970" b="0"/>
            <wp:docPr id="20"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6D6A31" w:rsidRDefault="006D6A31" w:rsidP="006D6A31">
      <w:pPr>
        <w:pStyle w:val="Pagrindinistekstas"/>
        <w:tabs>
          <w:tab w:val="left" w:pos="1136"/>
        </w:tabs>
        <w:ind w:right="0" w:firstLine="709"/>
        <w:jc w:val="both"/>
        <w:rPr>
          <w:b w:val="0"/>
          <w:i/>
          <w:sz w:val="24"/>
          <w:szCs w:val="24"/>
        </w:rPr>
      </w:pPr>
    </w:p>
    <w:p w:rsidR="006D6A31" w:rsidRDefault="006D6A31" w:rsidP="006D6A31">
      <w:pPr>
        <w:pStyle w:val="Pagrindinistekstas"/>
        <w:tabs>
          <w:tab w:val="left" w:pos="1136"/>
        </w:tabs>
        <w:ind w:right="0" w:firstLine="709"/>
        <w:jc w:val="both"/>
        <w:rPr>
          <w:b w:val="0"/>
          <w:i/>
          <w:sz w:val="24"/>
          <w:szCs w:val="24"/>
        </w:rPr>
      </w:pPr>
    </w:p>
    <w:p w:rsidR="006D6A31" w:rsidRDefault="006D6A31" w:rsidP="006D327D">
      <w:pPr>
        <w:ind w:firstLine="709"/>
        <w:jc w:val="left"/>
      </w:pPr>
      <w:r>
        <w:t>Jau keletą metų iš eilės mažėja šilumos pardavimai, tai lemia pastatų renovacija ir šiltesnės žiemos.</w:t>
      </w:r>
    </w:p>
    <w:p w:rsidR="006D6A31" w:rsidRDefault="006D6A31" w:rsidP="006D327D">
      <w:pPr>
        <w:ind w:firstLine="709"/>
        <w:jc w:val="left"/>
      </w:pPr>
      <w:r>
        <w:t xml:space="preserve">Iš grafiko matome, kad 2015 metais padidėjo šilumos tinklų nuostoliai, jie siekė  3,7 tūkst. MWh arba 38,7 proc. nuo pateiktos į tinklą šiluminės energijos kiekio (2014 m. – 3,01 arba 31,08 proc.). Šilumos tinklų nuostoliai padidėjo dėl keleto priežasčių. Pirma </w:t>
      </w:r>
      <w:r w:rsidR="00FF7318">
        <w:t>–</w:t>
      </w:r>
      <w:r>
        <w:t xml:space="preserve"> vykstantis daugiabučių namų renovacijos darbai, nes dėl šildymo ir karšto vandens tiekimo sistemų atnaujinimo renovuojamuose namuose iš sistemų buvo išleidžiamas termofikacinis vanduo ir juos reikėjo iš naujo užpildyti. Antra </w:t>
      </w:r>
      <w:r w:rsidR="00FF7318">
        <w:t xml:space="preserve">– </w:t>
      </w:r>
      <w:r>
        <w:t>dėl karšto vandens ir šildymo sistemų renovacijos darbų daugiabučiuose namuose, negalėjome tiksl</w:t>
      </w:r>
      <w:r w:rsidR="00FF7318">
        <w:t>i</w:t>
      </w:r>
      <w:r>
        <w:t xml:space="preserve">ai </w:t>
      </w:r>
      <w:r w:rsidR="00FF7318">
        <w:t>a</w:t>
      </w:r>
      <w:r>
        <w:t xml:space="preserve">pskaičiuoti mokesčių už karštą vandenį ir šildymą, todėl patyrėme komercinių nuostolių. Trečia </w:t>
      </w:r>
      <w:r w:rsidR="00FF7318">
        <w:t>–</w:t>
      </w:r>
      <w:r>
        <w:t xml:space="preserve"> p</w:t>
      </w:r>
      <w:r w:rsidR="00FF7318">
        <w:t>ri</w:t>
      </w:r>
      <w:r>
        <w:t xml:space="preserve">jungiant naują katilinę prie šilumos tinklų ir keičiant dalį šiluminės trasos dėl </w:t>
      </w:r>
      <w:r w:rsidR="00FF7318">
        <w:t xml:space="preserve">L. </w:t>
      </w:r>
      <w:r>
        <w:t>Ivinskio gatvės remonto reikėjo ne</w:t>
      </w:r>
      <w:r w:rsidR="00FF7318">
        <w:t xml:space="preserve"> </w:t>
      </w:r>
      <w:r>
        <w:t>kartą išdrenuoti šilumines trasas.</w:t>
      </w:r>
    </w:p>
    <w:p w:rsidR="006D6A31" w:rsidRPr="001A2113" w:rsidRDefault="006D6A31" w:rsidP="006D327D">
      <w:pPr>
        <w:ind w:firstLine="709"/>
        <w:jc w:val="left"/>
      </w:pPr>
      <w:r>
        <w:t xml:space="preserve">Reikšmingiausias 2015 metų įvykis </w:t>
      </w:r>
      <w:r w:rsidR="00FF7318">
        <w:t>–</w:t>
      </w:r>
      <w:r>
        <w:t xml:space="preserve"> kartu Rietavo savivaldybe įgyvendintas naujos Rietavo miesto katilinės statybos projektas. </w:t>
      </w:r>
    </w:p>
    <w:p w:rsidR="006D6A31" w:rsidRDefault="006D6A31" w:rsidP="006D327D">
      <w:pPr>
        <w:ind w:firstLine="710"/>
        <w:jc w:val="left"/>
        <w:rPr>
          <w:szCs w:val="24"/>
        </w:rPr>
      </w:pPr>
      <w:r w:rsidRPr="001A2113">
        <w:rPr>
          <w:szCs w:val="24"/>
        </w:rPr>
        <w:t>Pagrindinė vandens</w:t>
      </w:r>
      <w:r w:rsidRPr="00B01DEB">
        <w:rPr>
          <w:szCs w:val="24"/>
        </w:rPr>
        <w:t xml:space="preserve"> ūkio padalinio užduotis – užtikrinti patikimą vandens tiekimą ir nuotekų tvarkymo paslaugų teikimą vartotojams, patiriant mažiausiai išlaidų ir padarant minimalią žalą aplinkai. Šis padalinys praėjusiais metais tiekė vandenį ir valė nuotekas Rietavo miesto ir daugeliui </w:t>
      </w:r>
      <w:r w:rsidRPr="00ED353F">
        <w:rPr>
          <w:szCs w:val="24"/>
        </w:rPr>
        <w:t>Rietavo savivaldybėje gyvenan</w:t>
      </w:r>
      <w:r w:rsidR="00FF7318">
        <w:rPr>
          <w:szCs w:val="24"/>
        </w:rPr>
        <w:t>čių</w:t>
      </w:r>
      <w:r w:rsidRPr="00ED353F">
        <w:rPr>
          <w:szCs w:val="24"/>
        </w:rPr>
        <w:t xml:space="preserve"> gyventojų. Padalinys ataskaitinius metus baigė nuostolingai, gau</w:t>
      </w:r>
      <w:r>
        <w:rPr>
          <w:szCs w:val="24"/>
        </w:rPr>
        <w:t>ta 1 097 Eur</w:t>
      </w:r>
      <w:r w:rsidRPr="00ED353F">
        <w:rPr>
          <w:szCs w:val="24"/>
        </w:rPr>
        <w:t xml:space="preserve"> nuostolio. Ankstesni </w:t>
      </w:r>
      <w:r>
        <w:rPr>
          <w:szCs w:val="24"/>
        </w:rPr>
        <w:t xml:space="preserve">2014 </w:t>
      </w:r>
      <w:r w:rsidRPr="00ED353F">
        <w:rPr>
          <w:szCs w:val="24"/>
        </w:rPr>
        <w:t xml:space="preserve">veiklos metai šiam padaliniui </w:t>
      </w:r>
      <w:r>
        <w:rPr>
          <w:szCs w:val="24"/>
        </w:rPr>
        <w:t xml:space="preserve">tai pat </w:t>
      </w:r>
      <w:r w:rsidRPr="00ED353F">
        <w:rPr>
          <w:szCs w:val="24"/>
        </w:rPr>
        <w:t>buvo nuostolingi</w:t>
      </w:r>
      <w:r>
        <w:rPr>
          <w:szCs w:val="24"/>
        </w:rPr>
        <w:t>, nuostolis sudarė 1 121 Eur</w:t>
      </w:r>
      <w:r w:rsidRPr="00ED353F">
        <w:rPr>
          <w:szCs w:val="24"/>
        </w:rPr>
        <w:t xml:space="preserve">. Geriamojo vandens </w:t>
      </w:r>
      <w:r>
        <w:rPr>
          <w:szCs w:val="24"/>
        </w:rPr>
        <w:t>2015</w:t>
      </w:r>
      <w:r w:rsidRPr="00ED353F">
        <w:rPr>
          <w:szCs w:val="24"/>
        </w:rPr>
        <w:t xml:space="preserve"> </w:t>
      </w:r>
      <w:r>
        <w:rPr>
          <w:szCs w:val="24"/>
        </w:rPr>
        <w:t>pat</w:t>
      </w:r>
      <w:r w:rsidR="00FF7318">
        <w:rPr>
          <w:szCs w:val="24"/>
        </w:rPr>
        <w:t>e</w:t>
      </w:r>
      <w:r>
        <w:rPr>
          <w:szCs w:val="24"/>
        </w:rPr>
        <w:t>ikta 180 050</w:t>
      </w:r>
      <w:r w:rsidRPr="00ED353F">
        <w:rPr>
          <w:szCs w:val="24"/>
        </w:rPr>
        <w:t xml:space="preserve"> m</w:t>
      </w:r>
      <w:r w:rsidRPr="00ED353F">
        <w:rPr>
          <w:szCs w:val="24"/>
          <w:vertAlign w:val="superscript"/>
        </w:rPr>
        <w:t>3</w:t>
      </w:r>
      <w:r>
        <w:rPr>
          <w:szCs w:val="24"/>
        </w:rPr>
        <w:t xml:space="preserve"> – 0,3</w:t>
      </w:r>
      <w:r w:rsidRPr="00ED353F">
        <w:rPr>
          <w:szCs w:val="24"/>
        </w:rPr>
        <w:t xml:space="preserve"> pro</w:t>
      </w:r>
      <w:r>
        <w:rPr>
          <w:szCs w:val="24"/>
        </w:rPr>
        <w:t>c. mažiau negu 2014 m. (</w:t>
      </w:r>
      <w:r w:rsidRPr="00ED353F">
        <w:rPr>
          <w:szCs w:val="24"/>
        </w:rPr>
        <w:t>180 618 m</w:t>
      </w:r>
      <w:r w:rsidRPr="00ED353F">
        <w:rPr>
          <w:szCs w:val="24"/>
          <w:vertAlign w:val="superscript"/>
        </w:rPr>
        <w:t>3</w:t>
      </w:r>
      <w:r>
        <w:rPr>
          <w:szCs w:val="24"/>
        </w:rPr>
        <w:t>), išvalyta 221 954</w:t>
      </w:r>
      <w:r w:rsidRPr="00ED353F">
        <w:rPr>
          <w:szCs w:val="24"/>
        </w:rPr>
        <w:t xml:space="preserve"> m</w:t>
      </w:r>
      <w:r w:rsidRPr="00ED353F">
        <w:rPr>
          <w:szCs w:val="24"/>
          <w:vertAlign w:val="superscript"/>
        </w:rPr>
        <w:t>3</w:t>
      </w:r>
      <w:r>
        <w:rPr>
          <w:szCs w:val="24"/>
        </w:rPr>
        <w:t xml:space="preserve"> nuotekų – 4,1 proc. daugiau negu 2014 m. (</w:t>
      </w:r>
      <w:r w:rsidRPr="00ED353F">
        <w:rPr>
          <w:szCs w:val="24"/>
        </w:rPr>
        <w:t>213 149  m</w:t>
      </w:r>
      <w:r w:rsidRPr="00ED353F">
        <w:rPr>
          <w:szCs w:val="24"/>
          <w:vertAlign w:val="superscript"/>
        </w:rPr>
        <w:t>3</w:t>
      </w:r>
      <w:r w:rsidRPr="00ED353F">
        <w:rPr>
          <w:szCs w:val="24"/>
        </w:rPr>
        <w:t>). Išsamesnė informacija ir palyginimai su ankstesniais metais pateikti diagramose.</w:t>
      </w:r>
    </w:p>
    <w:p w:rsidR="006D6A31" w:rsidRDefault="006D6A31" w:rsidP="006D6A31">
      <w:pPr>
        <w:ind w:firstLine="710"/>
        <w:rPr>
          <w:szCs w:val="24"/>
        </w:rPr>
      </w:pPr>
    </w:p>
    <w:p w:rsidR="006D6A31" w:rsidRDefault="006D6A31" w:rsidP="006D6A31">
      <w:pPr>
        <w:ind w:firstLine="0"/>
        <w:rPr>
          <w:szCs w:val="24"/>
        </w:rPr>
      </w:pPr>
      <w:r w:rsidRPr="00A83447">
        <w:rPr>
          <w:noProof/>
          <w:szCs w:val="24"/>
          <w:lang w:eastAsia="lt-LT"/>
        </w:rPr>
        <w:drawing>
          <wp:inline distT="0" distB="0" distL="0" distR="0">
            <wp:extent cx="6120130" cy="3899650"/>
            <wp:effectExtent l="19050" t="0" r="13970" b="5600"/>
            <wp:docPr id="21"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6D6A31" w:rsidRDefault="006D6A31" w:rsidP="006D6A31">
      <w:pPr>
        <w:pStyle w:val="Pagrindinistekstas"/>
        <w:tabs>
          <w:tab w:val="left" w:pos="1136"/>
        </w:tabs>
        <w:ind w:right="0"/>
        <w:jc w:val="both"/>
        <w:rPr>
          <w:noProof/>
          <w:lang w:eastAsia="lt-LT"/>
        </w:rPr>
      </w:pPr>
    </w:p>
    <w:p w:rsidR="006D6A31" w:rsidRDefault="006D6A31" w:rsidP="006D327D">
      <w:pPr>
        <w:ind w:firstLine="710"/>
        <w:jc w:val="left"/>
        <w:rPr>
          <w:szCs w:val="24"/>
        </w:rPr>
      </w:pPr>
      <w:r>
        <w:rPr>
          <w:szCs w:val="24"/>
        </w:rPr>
        <w:t xml:space="preserve">Vandens pardavimo kiekiai, lyginant su 2014 metais, išlieka tame pačiame lygyje, nors prie vandentiekio tinklų, įgyvendinus investicinius projektus, prijungiama naujų vartotojų. Parduodamo vandens kiekiai nedidėja dėl taupaus vandens vartojimo ir gyventojų skaičiaus mažėjimo. </w:t>
      </w:r>
    </w:p>
    <w:p w:rsidR="006D6A31" w:rsidRDefault="006D6A31" w:rsidP="006D327D">
      <w:pPr>
        <w:ind w:firstLine="710"/>
        <w:jc w:val="left"/>
        <w:rPr>
          <w:szCs w:val="24"/>
        </w:rPr>
      </w:pPr>
      <w:r>
        <w:rPr>
          <w:szCs w:val="24"/>
        </w:rPr>
        <w:lastRenderedPageBreak/>
        <w:t>Nuosekliai pagal turimas finansines galimybes remontuojant, o kai kur ir keičiant vamzdynus naujais, vandens netektys stabilizavosi, tam įtakos turėjo ir savalaikis apskaitos prietaisų tikrinimas. Šiuo metu vandens apskaitai naudojami prietaisai yra 100 proc. patikrinti.</w:t>
      </w:r>
    </w:p>
    <w:p w:rsidR="006D6A31" w:rsidRDefault="006D6A31" w:rsidP="006D327D">
      <w:pPr>
        <w:ind w:firstLine="710"/>
        <w:jc w:val="left"/>
        <w:rPr>
          <w:szCs w:val="24"/>
        </w:rPr>
      </w:pPr>
      <w:r>
        <w:rPr>
          <w:szCs w:val="24"/>
        </w:rPr>
        <w:t>Nuotekų tvarkymo veiklos rezultatai apie išvalytus, parduotus ir infiltruojamus nuotekų kiekius pateikti žemiau esančiame grafike.</w:t>
      </w:r>
    </w:p>
    <w:p w:rsidR="006D6A31" w:rsidRDefault="006D6A31" w:rsidP="006D6A31">
      <w:pPr>
        <w:ind w:firstLine="710"/>
        <w:rPr>
          <w:szCs w:val="24"/>
        </w:rPr>
      </w:pPr>
    </w:p>
    <w:p w:rsidR="006D6A31" w:rsidRDefault="006D6A31" w:rsidP="006D6A31">
      <w:pPr>
        <w:ind w:firstLine="0"/>
        <w:rPr>
          <w:szCs w:val="24"/>
        </w:rPr>
      </w:pPr>
      <w:r w:rsidRPr="00A83447">
        <w:rPr>
          <w:noProof/>
          <w:szCs w:val="24"/>
          <w:lang w:eastAsia="lt-LT"/>
        </w:rPr>
        <w:drawing>
          <wp:inline distT="0" distB="0" distL="0" distR="0">
            <wp:extent cx="6120130" cy="3143250"/>
            <wp:effectExtent l="19050" t="0" r="13970" b="0"/>
            <wp:docPr id="22"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6D6A31" w:rsidRPr="00182C97" w:rsidRDefault="006D6A31" w:rsidP="006D6A31">
      <w:pPr>
        <w:ind w:firstLine="0"/>
        <w:rPr>
          <w:szCs w:val="24"/>
        </w:rPr>
      </w:pPr>
    </w:p>
    <w:p w:rsidR="006D6A31" w:rsidRDefault="006D6A31" w:rsidP="006D6A31">
      <w:pPr>
        <w:pStyle w:val="Pagrindinistekstas"/>
        <w:tabs>
          <w:tab w:val="left" w:pos="709"/>
        </w:tabs>
        <w:jc w:val="both"/>
      </w:pPr>
    </w:p>
    <w:p w:rsidR="006D6A31" w:rsidRDefault="006D6A31" w:rsidP="006D327D">
      <w:pPr>
        <w:ind w:firstLine="710"/>
        <w:jc w:val="left"/>
        <w:rPr>
          <w:szCs w:val="24"/>
        </w:rPr>
      </w:pPr>
      <w:r>
        <w:rPr>
          <w:szCs w:val="24"/>
        </w:rPr>
        <w:t>Bendras atitekančių nuotekų kiekis, 2015 metus lyginant su 2014 metais, padidėjo 4,1 proc., 2,1 proc. didėjo ir nuotekų pardavimai. Infiltracija (nuostoliai) į nuotekų tinklus padidėjo 5,4 proc.</w:t>
      </w:r>
    </w:p>
    <w:p w:rsidR="006D6A31" w:rsidRDefault="006D6A31" w:rsidP="006D6A31"/>
    <w:p w:rsidR="00E97ECA" w:rsidRPr="00630125" w:rsidRDefault="00E97ECA" w:rsidP="00E97ECA">
      <w:pPr>
        <w:rPr>
          <w:i/>
        </w:rPr>
      </w:pPr>
    </w:p>
    <w:p w:rsidR="00E97ECA" w:rsidRPr="009254FF" w:rsidRDefault="00E97ECA" w:rsidP="00E97ECA">
      <w:pPr>
        <w:ind w:left="-851"/>
        <w:jc w:val="center"/>
        <w:rPr>
          <w:b/>
          <w:szCs w:val="24"/>
        </w:rPr>
      </w:pPr>
      <w:r w:rsidRPr="009254FF">
        <w:rPr>
          <w:b/>
          <w:szCs w:val="24"/>
        </w:rPr>
        <w:t>KOMUNALINIŲ ATLIEKŲ TVARKYMAS</w:t>
      </w:r>
    </w:p>
    <w:p w:rsidR="00E97ECA" w:rsidRPr="00630125" w:rsidRDefault="00E97ECA" w:rsidP="00E97ECA">
      <w:pPr>
        <w:jc w:val="left"/>
        <w:rPr>
          <w:i/>
          <w:szCs w:val="24"/>
        </w:rPr>
      </w:pPr>
      <w:r w:rsidRPr="00630125">
        <w:rPr>
          <w:i/>
          <w:szCs w:val="24"/>
        </w:rPr>
        <w:t xml:space="preserve">         </w:t>
      </w:r>
    </w:p>
    <w:p w:rsidR="009254FF" w:rsidRDefault="00E97ECA" w:rsidP="006D327D">
      <w:pPr>
        <w:ind w:firstLine="709"/>
        <w:jc w:val="left"/>
        <w:rPr>
          <w:szCs w:val="24"/>
        </w:rPr>
      </w:pPr>
      <w:r w:rsidRPr="009254FF">
        <w:rPr>
          <w:szCs w:val="24"/>
        </w:rPr>
        <w:t xml:space="preserve">Komunalines atliekas Rietavo savivaldybėje tvarko UAB „Telšių regiono atliekų tvarkymo </w:t>
      </w:r>
      <w:r w:rsidR="009254FF">
        <w:rPr>
          <w:szCs w:val="24"/>
        </w:rPr>
        <w:t xml:space="preserve">  </w:t>
      </w:r>
      <w:r w:rsidRPr="009254FF">
        <w:rPr>
          <w:szCs w:val="24"/>
        </w:rPr>
        <w:t xml:space="preserve">centras“. </w:t>
      </w:r>
      <w:r w:rsidR="009254FF" w:rsidRPr="009254FF">
        <w:rPr>
          <w:szCs w:val="24"/>
        </w:rPr>
        <w:t>Iš Rietavo savivaldybės teritorijoje gyvenančių gyventojų 2015 m. surinktos beveik 2 005 t</w:t>
      </w:r>
      <w:r w:rsidR="009254FF">
        <w:rPr>
          <w:szCs w:val="24"/>
        </w:rPr>
        <w:t xml:space="preserve"> mišrių komunalinių atliekų (2014 m. – 2 038 t, 2013 m. – 2 099 t). Į Jėrubaičių nepavojingų atliekų sąvartyną patenkančių mišrių komunalinių atliekų kiekis kasmet mažėja. </w:t>
      </w:r>
    </w:p>
    <w:p w:rsidR="009254FF" w:rsidRPr="00E95FC5" w:rsidRDefault="009254FF" w:rsidP="006D327D">
      <w:pPr>
        <w:ind w:firstLine="709"/>
        <w:jc w:val="left"/>
        <w:rPr>
          <w:szCs w:val="24"/>
        </w:rPr>
      </w:pPr>
      <w:r w:rsidRPr="00E95FC5">
        <w:rPr>
          <w:szCs w:val="24"/>
        </w:rPr>
        <w:t>Daug</w:t>
      </w:r>
      <w:r>
        <w:rPr>
          <w:szCs w:val="24"/>
        </w:rPr>
        <w:t>iausiai komunalinių atliekų 2015</w:t>
      </w:r>
      <w:r w:rsidRPr="00E95FC5">
        <w:rPr>
          <w:szCs w:val="24"/>
        </w:rPr>
        <w:t xml:space="preserve"> m. (</w:t>
      </w:r>
      <w:r>
        <w:rPr>
          <w:szCs w:val="24"/>
        </w:rPr>
        <w:t>226</w:t>
      </w:r>
      <w:r w:rsidRPr="00E95FC5">
        <w:rPr>
          <w:szCs w:val="24"/>
        </w:rPr>
        <w:t xml:space="preserve"> t) sutvarkyta </w:t>
      </w:r>
      <w:r>
        <w:rPr>
          <w:szCs w:val="24"/>
        </w:rPr>
        <w:t>rugsėjo</w:t>
      </w:r>
      <w:r w:rsidRPr="00E95FC5">
        <w:rPr>
          <w:szCs w:val="24"/>
        </w:rPr>
        <w:t xml:space="preserve"> mėnesį, mažiausiai </w:t>
      </w:r>
      <w:r w:rsidR="00FF7318">
        <w:rPr>
          <w:szCs w:val="24"/>
        </w:rPr>
        <w:t>–</w:t>
      </w:r>
      <w:r w:rsidRPr="00E95FC5">
        <w:rPr>
          <w:szCs w:val="24"/>
        </w:rPr>
        <w:t xml:space="preserve"> vasario mėnesį  (</w:t>
      </w:r>
      <w:r>
        <w:rPr>
          <w:szCs w:val="24"/>
        </w:rPr>
        <w:t>117 t</w:t>
      </w:r>
      <w:r w:rsidRPr="00E95FC5">
        <w:rPr>
          <w:szCs w:val="24"/>
        </w:rPr>
        <w:t xml:space="preserve">). </w:t>
      </w:r>
    </w:p>
    <w:p w:rsidR="009254FF" w:rsidRDefault="009254FF" w:rsidP="006D327D">
      <w:pPr>
        <w:ind w:firstLine="709"/>
        <w:jc w:val="left"/>
        <w:rPr>
          <w:szCs w:val="24"/>
        </w:rPr>
      </w:pPr>
      <w:r>
        <w:rPr>
          <w:szCs w:val="24"/>
        </w:rPr>
        <w:t>2015 m. lapkričio mėnesį Rietavo miesto, Vatušių, Purvelių, Labardžių, Skroblio, Liolių, Užupių, Pelaičių, Drobstų, Bubėnų, Laužų ir Budrikių kaimuose individualioms valdoms išdalintos pakuočių atliekų tvarkymo priemonės (konteineriai).</w:t>
      </w:r>
    </w:p>
    <w:p w:rsidR="00E97ECA" w:rsidRPr="00630125" w:rsidRDefault="00E97ECA" w:rsidP="009254FF">
      <w:pPr>
        <w:jc w:val="left"/>
        <w:rPr>
          <w:i/>
          <w:szCs w:val="24"/>
        </w:rPr>
      </w:pPr>
    </w:p>
    <w:p w:rsidR="00E97ECA" w:rsidRPr="00630125" w:rsidRDefault="00E97ECA" w:rsidP="00E97ECA">
      <w:pPr>
        <w:ind w:left="-851" w:firstLine="0"/>
        <w:jc w:val="center"/>
        <w:rPr>
          <w:i/>
          <w:szCs w:val="24"/>
        </w:rPr>
      </w:pPr>
    </w:p>
    <w:p w:rsidR="00E97ECA" w:rsidRPr="00630125" w:rsidRDefault="009254FF" w:rsidP="00E97ECA">
      <w:pPr>
        <w:ind w:left="-851"/>
        <w:jc w:val="center"/>
        <w:rPr>
          <w:i/>
          <w:szCs w:val="24"/>
        </w:rPr>
      </w:pPr>
      <w:r w:rsidRPr="009254FF">
        <w:rPr>
          <w:i/>
          <w:noProof/>
          <w:szCs w:val="24"/>
          <w:lang w:eastAsia="lt-LT"/>
        </w:rPr>
        <w:lastRenderedPageBreak/>
        <w:drawing>
          <wp:inline distT="0" distB="0" distL="0" distR="0">
            <wp:extent cx="5158243" cy="2814761"/>
            <wp:effectExtent l="19050" t="0" r="23357" b="4639"/>
            <wp:docPr id="187"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E97ECA" w:rsidRPr="00630125" w:rsidRDefault="00E97ECA" w:rsidP="00E97ECA">
      <w:pPr>
        <w:ind w:left="-851"/>
        <w:jc w:val="center"/>
        <w:rPr>
          <w:i/>
          <w:szCs w:val="24"/>
        </w:rPr>
      </w:pPr>
    </w:p>
    <w:p w:rsidR="00E97ECA" w:rsidRDefault="00E97ECA" w:rsidP="00E97ECA">
      <w:pPr>
        <w:pStyle w:val="Pagrindinistekstas"/>
        <w:tabs>
          <w:tab w:val="left" w:pos="709"/>
        </w:tabs>
        <w:jc w:val="both"/>
        <w:rPr>
          <w:i/>
        </w:rPr>
      </w:pPr>
    </w:p>
    <w:p w:rsidR="009254FF" w:rsidRDefault="009254FF" w:rsidP="00E97ECA">
      <w:pPr>
        <w:pStyle w:val="Pagrindinistekstas"/>
        <w:tabs>
          <w:tab w:val="left" w:pos="709"/>
        </w:tabs>
        <w:jc w:val="both"/>
        <w:rPr>
          <w:i/>
        </w:rPr>
      </w:pPr>
    </w:p>
    <w:p w:rsidR="009254FF" w:rsidRDefault="00D5479A" w:rsidP="00D5479A">
      <w:pPr>
        <w:pStyle w:val="Pagrindinistekstas"/>
        <w:tabs>
          <w:tab w:val="left" w:pos="709"/>
        </w:tabs>
        <w:rPr>
          <w:i/>
        </w:rPr>
      </w:pPr>
      <w:r w:rsidRPr="00D5479A">
        <w:rPr>
          <w:i/>
          <w:noProof/>
          <w:lang w:eastAsia="lt-LT"/>
        </w:rPr>
        <w:drawing>
          <wp:inline distT="0" distB="0" distL="0" distR="0">
            <wp:extent cx="5155676" cy="3307742"/>
            <wp:effectExtent l="19050" t="0" r="25924" b="6958"/>
            <wp:docPr id="27"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9254FF" w:rsidRDefault="009254FF" w:rsidP="00E97ECA">
      <w:pPr>
        <w:pStyle w:val="Pagrindinistekstas"/>
        <w:tabs>
          <w:tab w:val="left" w:pos="709"/>
        </w:tabs>
        <w:jc w:val="both"/>
        <w:rPr>
          <w:i/>
        </w:rPr>
      </w:pPr>
    </w:p>
    <w:p w:rsidR="00E97ECA" w:rsidRPr="00630125" w:rsidRDefault="00E97ECA" w:rsidP="00E97ECA">
      <w:pPr>
        <w:ind w:firstLine="0"/>
        <w:rPr>
          <w:i/>
          <w:noProof/>
          <w:szCs w:val="24"/>
          <w:lang w:eastAsia="lt-LT"/>
        </w:rPr>
      </w:pPr>
    </w:p>
    <w:p w:rsidR="00E97ECA" w:rsidRPr="005F5357" w:rsidRDefault="00E97ECA" w:rsidP="00E97ECA">
      <w:pPr>
        <w:ind w:left="2592" w:firstLine="1296"/>
        <w:rPr>
          <w:b/>
        </w:rPr>
      </w:pPr>
      <w:r w:rsidRPr="005F5357">
        <w:rPr>
          <w:b/>
        </w:rPr>
        <w:t>VIEŠOJI TVARKA</w:t>
      </w:r>
    </w:p>
    <w:p w:rsidR="00E97ECA" w:rsidRPr="005F5357" w:rsidRDefault="00E97ECA" w:rsidP="00E97ECA">
      <w:pPr>
        <w:ind w:left="2592" w:firstLine="1296"/>
        <w:rPr>
          <w:b/>
        </w:rPr>
      </w:pPr>
    </w:p>
    <w:p w:rsidR="00E97ECA" w:rsidRPr="005F5357" w:rsidRDefault="00E97ECA" w:rsidP="006D327D">
      <w:pPr>
        <w:ind w:firstLine="680"/>
        <w:jc w:val="left"/>
      </w:pPr>
      <w:r w:rsidRPr="005F5357">
        <w:t xml:space="preserve"> Viešąją tvarką Rietavo savivaldybėje </w:t>
      </w:r>
      <w:r w:rsidR="00B84FE8" w:rsidRPr="005F5357">
        <w:t>užtikrina</w:t>
      </w:r>
      <w:r w:rsidRPr="005F5357">
        <w:t xml:space="preserve"> Klaipėdos vyriausiojo policijos komisariato Rietavo policijos komisariatas. </w:t>
      </w:r>
    </w:p>
    <w:p w:rsidR="005F5357" w:rsidRDefault="00E97ECA" w:rsidP="006D327D">
      <w:pPr>
        <w:pStyle w:val="Betarp"/>
        <w:rPr>
          <w:sz w:val="24"/>
          <w:szCs w:val="24"/>
        </w:rPr>
      </w:pPr>
      <w:r w:rsidRPr="00630125">
        <w:rPr>
          <w:i/>
        </w:rPr>
        <w:t xml:space="preserve">              </w:t>
      </w:r>
      <w:r w:rsidRPr="005F5357">
        <w:rPr>
          <w:sz w:val="24"/>
          <w:szCs w:val="24"/>
        </w:rPr>
        <w:t xml:space="preserve">Praėjusiais metais Rietavo savivaldybėje </w:t>
      </w:r>
      <w:r w:rsidR="005F5357" w:rsidRPr="005F5357">
        <w:rPr>
          <w:sz w:val="24"/>
          <w:szCs w:val="24"/>
        </w:rPr>
        <w:t xml:space="preserve">užregistruota 121 nusikalstama veika, iš kurių </w:t>
      </w:r>
      <w:r w:rsidR="005F5357" w:rsidRPr="005F5357">
        <w:t xml:space="preserve">60 – ištirta. </w:t>
      </w:r>
      <w:r w:rsidR="005F5357" w:rsidRPr="005F5357">
        <w:rPr>
          <w:sz w:val="24"/>
          <w:szCs w:val="24"/>
        </w:rPr>
        <w:t>Pernai pareigūnai nustatė 871 administracinės teisės  pažeidimą (629 –</w:t>
      </w:r>
      <w:r w:rsidR="00FF7318">
        <w:rPr>
          <w:sz w:val="24"/>
          <w:szCs w:val="24"/>
        </w:rPr>
        <w:t xml:space="preserve"> </w:t>
      </w:r>
      <w:r w:rsidR="005F5357" w:rsidRPr="005F5357">
        <w:rPr>
          <w:sz w:val="24"/>
          <w:szCs w:val="24"/>
        </w:rPr>
        <w:t xml:space="preserve">už KET, 242 – už kitus pažeidimus). Dažniausi  administracinės teisės pažeidimai: vaiko teisių – 30, chuliganizmas, triukšmas – 35, girtų pasirodymas viešose vietose – 72, pėstieji ir dviratininkai be atšvaitų – 41, neturintys teisės vairuoti – 37, vairavimas be saugos diržų – 49, neblaivūs dviratininkai, vadeliotojai – 38, vairavimas apsvaigus nuo alkoholio – 44, viršytas saugus greitis – 218.   </w:t>
      </w:r>
    </w:p>
    <w:p w:rsidR="005F5357" w:rsidRPr="005F5357" w:rsidRDefault="005F5357" w:rsidP="006D327D">
      <w:pPr>
        <w:pStyle w:val="Betarp"/>
        <w:rPr>
          <w:sz w:val="24"/>
          <w:szCs w:val="24"/>
        </w:rPr>
      </w:pPr>
      <w:r>
        <w:rPr>
          <w:sz w:val="24"/>
          <w:szCs w:val="24"/>
        </w:rPr>
        <w:t xml:space="preserve">             Vis daugiau Savivaldybės gyventojų </w:t>
      </w:r>
      <w:r w:rsidRPr="005F5357">
        <w:rPr>
          <w:sz w:val="24"/>
          <w:szCs w:val="24"/>
        </w:rPr>
        <w:t xml:space="preserve">pasitiki policijos pareigūnais –  tai liudija ir jų pranešimai. Pasak jo, dažniausiai gyventojai policijai pranešdavo apie kelių eismo taisyklių </w:t>
      </w:r>
      <w:r w:rsidRPr="005F5357">
        <w:rPr>
          <w:sz w:val="24"/>
          <w:szCs w:val="24"/>
        </w:rPr>
        <w:lastRenderedPageBreak/>
        <w:t xml:space="preserve">pažeidimus, degtindarius, vagystes, konfliktus ir triukšmą, smurtą artimoje aplinkoje. </w:t>
      </w:r>
      <w:r>
        <w:rPr>
          <w:sz w:val="24"/>
          <w:szCs w:val="24"/>
        </w:rPr>
        <w:t xml:space="preserve">2015 m. gauti 1226 pranešimai (2013 m. – 1075, 2012 m. – 1079).  </w:t>
      </w:r>
    </w:p>
    <w:p w:rsidR="005F5357" w:rsidRPr="005F5357" w:rsidRDefault="005F5357" w:rsidP="005F5357">
      <w:pPr>
        <w:pStyle w:val="Betarp"/>
        <w:rPr>
          <w:sz w:val="24"/>
          <w:szCs w:val="24"/>
        </w:rPr>
      </w:pPr>
    </w:p>
    <w:p w:rsidR="00E97ECA" w:rsidRPr="00630125" w:rsidRDefault="00E97ECA" w:rsidP="00E7591C">
      <w:pPr>
        <w:ind w:firstLine="540"/>
        <w:rPr>
          <w:i/>
        </w:rPr>
      </w:pPr>
      <w:r w:rsidRPr="00630125">
        <w:rPr>
          <w:i/>
        </w:rPr>
        <w:t xml:space="preserve">               </w:t>
      </w:r>
    </w:p>
    <w:p w:rsidR="00E97ECA" w:rsidRPr="00E7591C" w:rsidRDefault="00E97ECA" w:rsidP="00E97ECA">
      <w:pPr>
        <w:jc w:val="center"/>
        <w:rPr>
          <w:b/>
        </w:rPr>
      </w:pPr>
      <w:r w:rsidRPr="00E7591C">
        <w:rPr>
          <w:b/>
          <w:szCs w:val="24"/>
        </w:rPr>
        <w:t>GYVENTOJŲ PRIĖMIMAS</w:t>
      </w:r>
    </w:p>
    <w:p w:rsidR="00E97ECA" w:rsidRPr="00630125" w:rsidRDefault="00E97ECA" w:rsidP="00E97ECA">
      <w:pPr>
        <w:rPr>
          <w:b/>
          <w:i/>
        </w:rPr>
      </w:pPr>
    </w:p>
    <w:p w:rsidR="00E7591C" w:rsidRDefault="00E7591C" w:rsidP="006D327D">
      <w:pPr>
        <w:jc w:val="left"/>
        <w:rPr>
          <w:szCs w:val="24"/>
          <w:lang w:eastAsia="lt-LT"/>
        </w:rPr>
      </w:pPr>
      <w:r w:rsidRPr="006472E5">
        <w:rPr>
          <w:szCs w:val="24"/>
          <w:lang w:eastAsia="lt-LT"/>
        </w:rPr>
        <w:t>Siekdamas kuo išsamiau susipažinti su aktualiausiomis gyventojų problemomis ir padėti jas išspręsti, Savivaldybės meras gyventojus priiminėjo kiekvieną savaitės trečiadienį.  201</w:t>
      </w:r>
      <w:r>
        <w:rPr>
          <w:szCs w:val="24"/>
          <w:lang w:eastAsia="lt-LT"/>
        </w:rPr>
        <w:t>5</w:t>
      </w:r>
      <w:r w:rsidRPr="006472E5">
        <w:rPr>
          <w:szCs w:val="24"/>
          <w:lang w:eastAsia="lt-LT"/>
        </w:rPr>
        <w:t xml:space="preserve"> m. kreipėsi </w:t>
      </w:r>
      <w:r>
        <w:rPr>
          <w:szCs w:val="24"/>
          <w:lang w:eastAsia="lt-LT"/>
        </w:rPr>
        <w:t>116</w:t>
      </w:r>
      <w:r w:rsidRPr="006472E5">
        <w:rPr>
          <w:szCs w:val="24"/>
          <w:lang w:eastAsia="lt-LT"/>
        </w:rPr>
        <w:t xml:space="preserve"> asmen</w:t>
      </w:r>
      <w:r>
        <w:rPr>
          <w:szCs w:val="24"/>
          <w:lang w:eastAsia="lt-LT"/>
        </w:rPr>
        <w:t>ų</w:t>
      </w:r>
      <w:r w:rsidRPr="006472E5">
        <w:rPr>
          <w:szCs w:val="24"/>
          <w:lang w:eastAsia="lt-LT"/>
        </w:rPr>
        <w:t xml:space="preserve">: dėl paramos ūkininkams ir verslininkams </w:t>
      </w:r>
      <w:r w:rsidR="00FF7318">
        <w:rPr>
          <w:szCs w:val="24"/>
          <w:lang w:eastAsia="lt-LT"/>
        </w:rPr>
        <w:t>–</w:t>
      </w:r>
      <w:r w:rsidRPr="006472E5">
        <w:rPr>
          <w:szCs w:val="24"/>
          <w:lang w:eastAsia="lt-LT"/>
        </w:rPr>
        <w:t xml:space="preserve"> </w:t>
      </w:r>
      <w:r>
        <w:rPr>
          <w:szCs w:val="24"/>
          <w:lang w:eastAsia="lt-LT"/>
        </w:rPr>
        <w:t>55</w:t>
      </w:r>
      <w:r w:rsidRPr="006472E5">
        <w:rPr>
          <w:szCs w:val="24"/>
          <w:lang w:eastAsia="lt-LT"/>
        </w:rPr>
        <w:t xml:space="preserve">;  dėl socialinių problemų, materialinės paramos nelaimės ir kitais atvejais </w:t>
      </w:r>
      <w:r w:rsidR="00FF7318">
        <w:rPr>
          <w:szCs w:val="24"/>
          <w:lang w:eastAsia="lt-LT"/>
        </w:rPr>
        <w:t>–</w:t>
      </w:r>
      <w:r w:rsidRPr="006472E5">
        <w:rPr>
          <w:szCs w:val="24"/>
          <w:lang w:eastAsia="lt-LT"/>
        </w:rPr>
        <w:t xml:space="preserve"> </w:t>
      </w:r>
      <w:r>
        <w:rPr>
          <w:szCs w:val="24"/>
          <w:lang w:eastAsia="lt-LT"/>
        </w:rPr>
        <w:t>7</w:t>
      </w:r>
      <w:r w:rsidRPr="006472E5">
        <w:rPr>
          <w:szCs w:val="24"/>
          <w:lang w:eastAsia="lt-LT"/>
        </w:rPr>
        <w:t xml:space="preserve">;  būsto, pastatų privatizavimo, nuomos klausimais </w:t>
      </w:r>
      <w:r w:rsidR="00FF7318">
        <w:rPr>
          <w:szCs w:val="24"/>
          <w:lang w:eastAsia="lt-LT"/>
        </w:rPr>
        <w:t xml:space="preserve">– </w:t>
      </w:r>
      <w:r>
        <w:rPr>
          <w:szCs w:val="24"/>
          <w:lang w:eastAsia="lt-LT"/>
        </w:rPr>
        <w:t>30</w:t>
      </w:r>
      <w:r w:rsidRPr="006472E5">
        <w:rPr>
          <w:szCs w:val="24"/>
          <w:lang w:eastAsia="lt-LT"/>
        </w:rPr>
        <w:t xml:space="preserve">;  kelių, gatvių  tvarkymo, ir kt. problemų – </w:t>
      </w:r>
      <w:r>
        <w:rPr>
          <w:szCs w:val="24"/>
          <w:lang w:eastAsia="lt-LT"/>
        </w:rPr>
        <w:t>3</w:t>
      </w:r>
      <w:r w:rsidRPr="006472E5">
        <w:rPr>
          <w:szCs w:val="24"/>
          <w:lang w:eastAsia="lt-LT"/>
        </w:rPr>
        <w:t xml:space="preserve">, kitais klausimais  – </w:t>
      </w:r>
      <w:r>
        <w:rPr>
          <w:szCs w:val="24"/>
          <w:lang w:eastAsia="lt-LT"/>
        </w:rPr>
        <w:t>21</w:t>
      </w:r>
      <w:r w:rsidRPr="006472E5">
        <w:rPr>
          <w:szCs w:val="24"/>
          <w:lang w:eastAsia="lt-LT"/>
        </w:rPr>
        <w:t xml:space="preserve">. </w:t>
      </w:r>
    </w:p>
    <w:p w:rsidR="00E7591C" w:rsidRPr="006472E5" w:rsidRDefault="00E7591C" w:rsidP="006D327D">
      <w:pPr>
        <w:jc w:val="left"/>
        <w:rPr>
          <w:szCs w:val="24"/>
          <w:lang w:eastAsia="lt-LT"/>
        </w:rPr>
      </w:pPr>
      <w:r w:rsidRPr="006472E5">
        <w:rPr>
          <w:szCs w:val="24"/>
          <w:lang w:eastAsia="lt-LT"/>
        </w:rPr>
        <w:t>Patenkinta dauguma prašymų, kai kurių prašymų negalima patenkinti dėl nepakankamų finansinių galimybių ar teisės aktų apribojimų (</w:t>
      </w:r>
      <w:r>
        <w:rPr>
          <w:szCs w:val="24"/>
          <w:lang w:eastAsia="lt-LT"/>
        </w:rPr>
        <w:t>95</w:t>
      </w:r>
      <w:r w:rsidRPr="006472E5">
        <w:rPr>
          <w:szCs w:val="24"/>
          <w:lang w:eastAsia="lt-LT"/>
        </w:rPr>
        <w:t xml:space="preserve"> patenkint</w:t>
      </w:r>
      <w:r>
        <w:rPr>
          <w:szCs w:val="24"/>
          <w:lang w:eastAsia="lt-LT"/>
        </w:rPr>
        <w:t>i</w:t>
      </w:r>
      <w:r w:rsidRPr="006472E5">
        <w:rPr>
          <w:szCs w:val="24"/>
          <w:lang w:eastAsia="lt-LT"/>
        </w:rPr>
        <w:t xml:space="preserve">, </w:t>
      </w:r>
      <w:r>
        <w:rPr>
          <w:szCs w:val="24"/>
          <w:lang w:eastAsia="lt-LT"/>
        </w:rPr>
        <w:t>9</w:t>
      </w:r>
      <w:r w:rsidRPr="006472E5">
        <w:rPr>
          <w:szCs w:val="24"/>
          <w:lang w:eastAsia="lt-LT"/>
        </w:rPr>
        <w:t xml:space="preserve"> išspręst</w:t>
      </w:r>
      <w:r>
        <w:rPr>
          <w:szCs w:val="24"/>
          <w:lang w:eastAsia="lt-LT"/>
        </w:rPr>
        <w:t>i</w:t>
      </w:r>
      <w:r w:rsidRPr="006472E5">
        <w:rPr>
          <w:szCs w:val="24"/>
          <w:lang w:eastAsia="lt-LT"/>
        </w:rPr>
        <w:t xml:space="preserve"> neigiamai, į</w:t>
      </w:r>
      <w:r>
        <w:rPr>
          <w:szCs w:val="24"/>
          <w:lang w:eastAsia="lt-LT"/>
        </w:rPr>
        <w:t xml:space="preserve"> 12</w:t>
      </w:r>
      <w:r w:rsidRPr="006472E5">
        <w:rPr>
          <w:szCs w:val="24"/>
          <w:lang w:eastAsia="lt-LT"/>
        </w:rPr>
        <w:t xml:space="preserve"> asmenų prašym</w:t>
      </w:r>
      <w:r>
        <w:rPr>
          <w:szCs w:val="24"/>
          <w:lang w:eastAsia="lt-LT"/>
        </w:rPr>
        <w:t>ų</w:t>
      </w:r>
      <w:r w:rsidRPr="006472E5">
        <w:rPr>
          <w:szCs w:val="24"/>
          <w:lang w:eastAsia="lt-LT"/>
        </w:rPr>
        <w:t xml:space="preserve"> atsakyta paaiškinant situaciją, pateikiant pasiūlymus ir klausimo sprendimo būdus).</w:t>
      </w:r>
    </w:p>
    <w:p w:rsidR="00E97ECA" w:rsidRPr="00630125" w:rsidRDefault="00E97ECA" w:rsidP="00E97ECA">
      <w:pPr>
        <w:rPr>
          <w:i/>
        </w:rPr>
      </w:pPr>
    </w:p>
    <w:p w:rsidR="00E97ECA" w:rsidRPr="00630125" w:rsidRDefault="0084318E" w:rsidP="00E97ECA">
      <w:pPr>
        <w:pStyle w:val="StiliusAbipuslygiuot"/>
        <w:numPr>
          <w:ilvl w:val="0"/>
          <w:numId w:val="0"/>
        </w:numPr>
        <w:ind w:firstLine="900"/>
        <w:rPr>
          <w:i/>
          <w:color w:val="3366FF"/>
          <w:sz w:val="24"/>
          <w:szCs w:val="24"/>
        </w:rPr>
      </w:pPr>
      <w:r w:rsidRPr="0084318E">
        <w:rPr>
          <w:i/>
          <w:noProof/>
          <w:color w:val="3366FF"/>
          <w:sz w:val="24"/>
          <w:szCs w:val="24"/>
          <w:lang w:eastAsia="lt-LT"/>
        </w:rPr>
        <w:drawing>
          <wp:inline distT="0" distB="0" distL="0" distR="0">
            <wp:extent cx="5076825" cy="1628775"/>
            <wp:effectExtent l="38100" t="19050" r="9525" b="0"/>
            <wp:docPr id="189" name="Objektas 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E97ECA" w:rsidRPr="00630125" w:rsidRDefault="00E97ECA" w:rsidP="00E97ECA">
      <w:pPr>
        <w:pStyle w:val="Manostandartinis"/>
        <w:widowControl w:val="0"/>
        <w:spacing w:after="0"/>
        <w:ind w:firstLine="540"/>
        <w:rPr>
          <w:i/>
        </w:rPr>
      </w:pPr>
    </w:p>
    <w:p w:rsidR="00E97ECA" w:rsidRPr="00630125" w:rsidRDefault="00E97ECA" w:rsidP="00E97ECA">
      <w:pPr>
        <w:pStyle w:val="Manostandartinis"/>
        <w:widowControl w:val="0"/>
        <w:spacing w:after="0"/>
        <w:ind w:firstLine="540"/>
        <w:rPr>
          <w:i/>
        </w:rPr>
      </w:pPr>
    </w:p>
    <w:p w:rsidR="00E97ECA" w:rsidRPr="00B76CBE" w:rsidRDefault="00E97ECA" w:rsidP="00E97ECA">
      <w:pPr>
        <w:jc w:val="center"/>
        <w:rPr>
          <w:b/>
        </w:rPr>
      </w:pPr>
      <w:r w:rsidRPr="00B76CBE">
        <w:rPr>
          <w:b/>
        </w:rPr>
        <w:t>PIRMINĖ TEISINĖ PAGALBA</w:t>
      </w:r>
    </w:p>
    <w:p w:rsidR="00E97ECA" w:rsidRPr="00630125" w:rsidRDefault="00E97ECA" w:rsidP="00E97ECA">
      <w:pPr>
        <w:ind w:firstLine="0"/>
        <w:rPr>
          <w:i/>
          <w:szCs w:val="24"/>
        </w:rPr>
      </w:pPr>
    </w:p>
    <w:p w:rsidR="00B76CBE" w:rsidRPr="008D2AF3" w:rsidRDefault="00B76CBE" w:rsidP="006D327D">
      <w:pPr>
        <w:jc w:val="left"/>
      </w:pPr>
      <w:r>
        <w:t xml:space="preserve">Rietavo savivaldybės gyventojams pirminę teisinę pagalbą teikia administracijos Teisės ir finansų skyriaus vedėjas.  2015 m. Rietavo savivaldybėje pirminė teisinė pagalba buvo suteikta </w:t>
      </w:r>
      <w:r w:rsidRPr="008D2AF3">
        <w:t xml:space="preserve">153 pareiškėjams (2014 m. </w:t>
      </w:r>
      <w:r w:rsidR="00FF7318">
        <w:t>–</w:t>
      </w:r>
      <w:r w:rsidRPr="008D2AF3">
        <w:t xml:space="preserve"> 149, 2013 m. – 217). Pareiškėjams buvo suteiktos konsultacijos šiais klausimais: šeimos teisė – 64, darbo teisė – 10, socialinės apsaugos teisė </w:t>
      </w:r>
      <w:r w:rsidR="00FF7318">
        <w:t xml:space="preserve">– </w:t>
      </w:r>
      <w:r w:rsidRPr="008D2AF3">
        <w:t xml:space="preserve">2, žemės teisė – 3, nuosavybės teisių atkūrimas – 0, administracinė teisė – 9,  civilinė teisė ir civilinis procesas – 42, baudžiamoji teisė </w:t>
      </w:r>
      <w:r w:rsidR="00FF7318">
        <w:t>–</w:t>
      </w:r>
      <w:r w:rsidRPr="008D2AF3">
        <w:t xml:space="preserve"> 2, baudžiamasis procesas </w:t>
      </w:r>
      <w:r w:rsidR="00FF7318">
        <w:t xml:space="preserve">– </w:t>
      </w:r>
      <w:r w:rsidRPr="008D2AF3">
        <w:t>9,  kiti klausimai –</w:t>
      </w:r>
      <w:r w:rsidR="00FF7318">
        <w:t xml:space="preserve"> </w:t>
      </w:r>
      <w:r w:rsidRPr="008D2AF3">
        <w:t>12, surašyt</w:t>
      </w:r>
      <w:r w:rsidR="00FF7318">
        <w:t>i</w:t>
      </w:r>
      <w:r w:rsidRPr="008D2AF3">
        <w:t xml:space="preserve"> 43 prašymų antrinei teisinei pagalbai gauti, 12 pareiškėj</w:t>
      </w:r>
      <w:r w:rsidR="00FF7318">
        <w:t>ų</w:t>
      </w:r>
      <w:r w:rsidRPr="008D2AF3">
        <w:t xml:space="preserve"> surašyti ar padėti surašyti raštai į įvairias valstybines institucijas.  Pareiškėjų, kuriems atsisakyta suteikti pirminę teisinę pagalbą, ir skundų dėl pirminės teisinės pagalbos  nebuvo. Lėšos, skirtos pirminei teisinei pagalbai, panaudotos pagal paskirtį.</w:t>
      </w:r>
    </w:p>
    <w:p w:rsidR="00E97ECA" w:rsidRPr="00630125" w:rsidRDefault="00E97ECA" w:rsidP="00E97ECA">
      <w:pPr>
        <w:ind w:firstLine="0"/>
        <w:rPr>
          <w:i/>
          <w:szCs w:val="24"/>
        </w:rPr>
      </w:pPr>
    </w:p>
    <w:p w:rsidR="00E97ECA" w:rsidRPr="00630125" w:rsidRDefault="00E97ECA" w:rsidP="00E97ECA">
      <w:pPr>
        <w:ind w:firstLine="0"/>
        <w:rPr>
          <w:i/>
          <w:color w:val="3366FF"/>
        </w:rPr>
      </w:pPr>
      <w:r w:rsidRPr="00630125">
        <w:rPr>
          <w:i/>
          <w:noProof/>
          <w:color w:val="3366FF"/>
          <w:lang w:eastAsia="lt-LT"/>
        </w:rPr>
        <w:drawing>
          <wp:inline distT="0" distB="0" distL="0" distR="0">
            <wp:extent cx="5972175" cy="2114550"/>
            <wp:effectExtent l="19050" t="0" r="9525" b="19050"/>
            <wp:docPr id="93" name="Objektas 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E97ECA" w:rsidRPr="00630125" w:rsidRDefault="00E97ECA" w:rsidP="00E97ECA">
      <w:pPr>
        <w:ind w:firstLine="0"/>
        <w:rPr>
          <w:i/>
          <w:color w:val="3366FF"/>
        </w:rPr>
      </w:pPr>
    </w:p>
    <w:p w:rsidR="00E97ECA" w:rsidRPr="00630125" w:rsidRDefault="00E97ECA" w:rsidP="00E97ECA">
      <w:pPr>
        <w:ind w:firstLine="0"/>
        <w:jc w:val="left"/>
        <w:rPr>
          <w:i/>
          <w:color w:val="3366FF"/>
        </w:rPr>
      </w:pPr>
    </w:p>
    <w:p w:rsidR="00E97ECA" w:rsidRPr="00630125" w:rsidRDefault="00E97ECA" w:rsidP="00E97ECA">
      <w:pPr>
        <w:ind w:firstLine="0"/>
        <w:jc w:val="left"/>
        <w:rPr>
          <w:i/>
          <w:color w:val="3366FF"/>
        </w:rPr>
      </w:pPr>
    </w:p>
    <w:p w:rsidR="00E97ECA" w:rsidRPr="00775273" w:rsidRDefault="00E97ECA" w:rsidP="00E97ECA">
      <w:pPr>
        <w:ind w:firstLine="0"/>
        <w:jc w:val="center"/>
        <w:rPr>
          <w:b/>
          <w:color w:val="000000"/>
        </w:rPr>
      </w:pPr>
      <w:r w:rsidRPr="00775273">
        <w:rPr>
          <w:b/>
          <w:color w:val="000000"/>
        </w:rPr>
        <w:t xml:space="preserve">VŠĮ </w:t>
      </w:r>
      <w:r w:rsidR="00FF7318">
        <w:rPr>
          <w:b/>
          <w:color w:val="000000"/>
        </w:rPr>
        <w:t xml:space="preserve">RIETAVO TURIZMO IR </w:t>
      </w:r>
      <w:r w:rsidRPr="00775273">
        <w:rPr>
          <w:b/>
          <w:color w:val="000000"/>
        </w:rPr>
        <w:t>VERSLO INFORMACIJOS CENTRAS</w:t>
      </w:r>
    </w:p>
    <w:p w:rsidR="00E97ECA" w:rsidRPr="00630125" w:rsidRDefault="00E97ECA" w:rsidP="00E97ECA">
      <w:pPr>
        <w:ind w:firstLine="0"/>
        <w:jc w:val="left"/>
        <w:rPr>
          <w:i/>
          <w:color w:val="3366FF"/>
        </w:rPr>
      </w:pPr>
    </w:p>
    <w:p w:rsidR="00E520EF" w:rsidRPr="00E520EF" w:rsidRDefault="00E520EF" w:rsidP="006D327D">
      <w:pPr>
        <w:spacing w:line="276" w:lineRule="auto"/>
        <w:jc w:val="left"/>
        <w:rPr>
          <w:rFonts w:eastAsia="MS Mincho"/>
          <w:color w:val="000000"/>
          <w:szCs w:val="24"/>
          <w:highlight w:val="yellow"/>
          <w:lang w:eastAsia="lt-LT"/>
        </w:rPr>
      </w:pPr>
      <w:r w:rsidRPr="00E520EF">
        <w:rPr>
          <w:rFonts w:eastAsia="MS Mincho"/>
          <w:szCs w:val="24"/>
          <w:lang w:eastAsia="lt-LT"/>
        </w:rPr>
        <w:t xml:space="preserve">VšĮ Rietavo turizmo ir verslo informacijos centras teikia nemokamą informaciją </w:t>
      </w:r>
      <w:r w:rsidR="00FF7318">
        <w:rPr>
          <w:rFonts w:eastAsia="MS Mincho"/>
          <w:szCs w:val="24"/>
          <w:lang w:eastAsia="lt-LT"/>
        </w:rPr>
        <w:t xml:space="preserve">ir </w:t>
      </w:r>
      <w:r w:rsidRPr="00E520EF">
        <w:rPr>
          <w:rFonts w:eastAsia="MS Mincho"/>
          <w:szCs w:val="24"/>
          <w:lang w:eastAsia="lt-LT"/>
        </w:rPr>
        <w:t>asmenims</w:t>
      </w:r>
      <w:r w:rsidR="00FF7318">
        <w:rPr>
          <w:rFonts w:eastAsia="MS Mincho"/>
          <w:szCs w:val="24"/>
          <w:lang w:eastAsia="lt-LT"/>
        </w:rPr>
        <w:t>,</w:t>
      </w:r>
      <w:r w:rsidRPr="00E520EF">
        <w:rPr>
          <w:rFonts w:eastAsia="MS Mincho"/>
          <w:szCs w:val="24"/>
          <w:lang w:eastAsia="lt-LT"/>
        </w:rPr>
        <w:t xml:space="preserve"> ketinantiems pradėti verslą, </w:t>
      </w:r>
      <w:r w:rsidR="00FF7318">
        <w:rPr>
          <w:rFonts w:eastAsia="MS Mincho"/>
          <w:szCs w:val="24"/>
          <w:lang w:eastAsia="lt-LT"/>
        </w:rPr>
        <w:t>ir</w:t>
      </w:r>
      <w:r w:rsidRPr="00E520EF">
        <w:rPr>
          <w:rFonts w:eastAsia="MS Mincho"/>
          <w:szCs w:val="24"/>
          <w:lang w:eastAsia="lt-LT"/>
        </w:rPr>
        <w:t xml:space="preserve"> verslininkams (nemokamos paslaugos galimos tik dė</w:t>
      </w:r>
      <w:r w:rsidR="00FF7318">
        <w:rPr>
          <w:rFonts w:eastAsia="MS Mincho"/>
          <w:szCs w:val="24"/>
          <w:lang w:eastAsia="lt-LT"/>
        </w:rPr>
        <w:t>l</w:t>
      </w:r>
      <w:r w:rsidRPr="00E520EF">
        <w:rPr>
          <w:rFonts w:eastAsia="MS Mincho"/>
          <w:szCs w:val="24"/>
          <w:lang w:eastAsia="lt-LT"/>
        </w:rPr>
        <w:t xml:space="preserve"> RTVIC inicijuojamų ir įgyvendinamų tarptautinių projektų, nes nėra valstybinių programų kurios įgalina teikti nemokamą pagalbą verslo skatinimui). Verslininkai, visuomenės atstovai gali konsultuotis įvairiais jiems rūpimais klausimais: įmonės steigimo, reorganizavimo, patentų išdavimo, finansinių lėšų paieškos,  buhalterinės apskaitos, jiems rengiami mokymai, įvairūs kursai (kalbų mokymo, kompiuterinio raštingumo ir pan.) teikiama pagalba didinant konkurencingumą ir veiklos veiksmingumą, užmezgant tarptautinius bendradarbiavimo kontaktus su kitų šalių verslininkais. Centras 2012 – 2015 m. įgyvendino  6 tarptautinius projektus, p</w:t>
      </w:r>
      <w:r w:rsidR="00FF7318">
        <w:rPr>
          <w:rFonts w:eastAsia="MS Mincho"/>
          <w:szCs w:val="24"/>
          <w:lang w:eastAsia="lt-LT"/>
        </w:rPr>
        <w:t>er</w:t>
      </w:r>
      <w:r w:rsidRPr="00E520EF">
        <w:rPr>
          <w:rFonts w:eastAsia="MS Mincho"/>
          <w:szCs w:val="24"/>
          <w:lang w:eastAsia="lt-LT"/>
        </w:rPr>
        <w:t xml:space="preserve">imdamas užsienio šalių gerąją patirtį, kurdamas tarptautinius ryšius su panašiomis įstaigomis užsienyje, ieškodamas verslo partnerių Rietavo verslininkams, skatindamas atskirų socialinių grupių </w:t>
      </w:r>
      <w:r w:rsidR="00FF7318">
        <w:rPr>
          <w:rFonts w:eastAsia="MS Mincho"/>
          <w:szCs w:val="24"/>
          <w:lang w:eastAsia="lt-LT"/>
        </w:rPr>
        <w:t>(</w:t>
      </w:r>
      <w:r w:rsidRPr="00E520EF">
        <w:rPr>
          <w:rFonts w:eastAsia="MS Mincho"/>
          <w:szCs w:val="24"/>
          <w:lang w:eastAsia="lt-LT"/>
        </w:rPr>
        <w:t>pvz.</w:t>
      </w:r>
      <w:r w:rsidR="00FF7318">
        <w:rPr>
          <w:rFonts w:eastAsia="MS Mincho"/>
          <w:szCs w:val="24"/>
          <w:lang w:eastAsia="lt-LT"/>
        </w:rPr>
        <w:t>,</w:t>
      </w:r>
      <w:r w:rsidRPr="00E520EF">
        <w:rPr>
          <w:rFonts w:eastAsia="MS Mincho"/>
          <w:szCs w:val="24"/>
          <w:lang w:eastAsia="lt-LT"/>
        </w:rPr>
        <w:t xml:space="preserve"> moterų</w:t>
      </w:r>
      <w:r w:rsidR="00FF7318">
        <w:rPr>
          <w:rFonts w:eastAsia="MS Mincho"/>
          <w:szCs w:val="24"/>
          <w:lang w:eastAsia="lt-LT"/>
        </w:rPr>
        <w:t>)</w:t>
      </w:r>
      <w:r w:rsidRPr="00E520EF">
        <w:rPr>
          <w:rFonts w:eastAsia="MS Mincho"/>
          <w:szCs w:val="24"/>
          <w:lang w:eastAsia="lt-LT"/>
        </w:rPr>
        <w:t xml:space="preserve"> verslumą, smulkių gamintojų tinklų vystymąsi ir taip prisideda prie regioninio vystymosi. Nuo 2015 m. įgyvendinami 7 tarptautiniai projektai ir rengiamos dar kelios paraiškos. Per šį laikotarpį centro biudžetas išaugo daugiau kaip 2 kartus: nuo 263,87 tūkst. Lt (76,42 tūkst. E</w:t>
      </w:r>
      <w:r w:rsidR="00FF7318" w:rsidRPr="00E520EF">
        <w:rPr>
          <w:rFonts w:eastAsia="MS Mincho"/>
          <w:szCs w:val="24"/>
          <w:lang w:eastAsia="lt-LT"/>
        </w:rPr>
        <w:t>ur</w:t>
      </w:r>
      <w:r w:rsidRPr="00E520EF">
        <w:rPr>
          <w:rFonts w:eastAsia="MS Mincho"/>
          <w:szCs w:val="24"/>
          <w:lang w:eastAsia="lt-LT"/>
        </w:rPr>
        <w:t xml:space="preserve">)  2012 m. iki </w:t>
      </w:r>
      <w:r w:rsidRPr="00E520EF">
        <w:rPr>
          <w:rFonts w:eastAsia="MS Mincho"/>
          <w:color w:val="000000"/>
          <w:szCs w:val="24"/>
          <w:lang w:eastAsia="lt-LT"/>
        </w:rPr>
        <w:t>565,9 tūkst. Lt (150,914 tūkst. E</w:t>
      </w:r>
      <w:r w:rsidR="00FF7318" w:rsidRPr="00E520EF">
        <w:rPr>
          <w:rFonts w:eastAsia="MS Mincho"/>
          <w:color w:val="000000"/>
          <w:szCs w:val="24"/>
          <w:lang w:eastAsia="lt-LT"/>
        </w:rPr>
        <w:t>ur</w:t>
      </w:r>
      <w:r w:rsidRPr="00E520EF">
        <w:rPr>
          <w:rFonts w:eastAsia="MS Mincho"/>
          <w:color w:val="000000"/>
          <w:szCs w:val="24"/>
          <w:lang w:eastAsia="lt-LT"/>
        </w:rPr>
        <w:t>) 2015 m.</w:t>
      </w:r>
    </w:p>
    <w:p w:rsidR="00E520EF" w:rsidRPr="00E520EF" w:rsidRDefault="00E520EF" w:rsidP="006D327D">
      <w:pPr>
        <w:spacing w:line="276" w:lineRule="auto"/>
        <w:jc w:val="left"/>
        <w:rPr>
          <w:rFonts w:eastAsia="MS Mincho"/>
          <w:color w:val="000000"/>
          <w:szCs w:val="24"/>
          <w:lang w:eastAsia="lt-LT"/>
        </w:rPr>
      </w:pPr>
      <w:r w:rsidRPr="00E520EF">
        <w:rPr>
          <w:rFonts w:eastAsia="MS Mincho"/>
          <w:color w:val="000000"/>
          <w:szCs w:val="24"/>
          <w:lang w:eastAsia="lt-LT"/>
        </w:rPr>
        <w:t>Siekiant paskatinti nuosavo verslo plėtrą, darbo vietų Rietavo savivaldybėje kūrimą, plėtojamos gyventojų verslumui didinti skirtos neformalios iniciatyvos (pvz.</w:t>
      </w:r>
      <w:r w:rsidR="00FF7318">
        <w:rPr>
          <w:rFonts w:eastAsia="MS Mincho"/>
          <w:color w:val="000000"/>
          <w:szCs w:val="24"/>
          <w:lang w:eastAsia="lt-LT"/>
        </w:rPr>
        <w:t>,</w:t>
      </w:r>
      <w:r w:rsidRPr="00E520EF">
        <w:rPr>
          <w:rFonts w:eastAsia="MS Mincho"/>
          <w:color w:val="000000"/>
          <w:szCs w:val="24"/>
          <w:lang w:eastAsia="lt-LT"/>
        </w:rPr>
        <w:t xml:space="preserve"> besikuriančio verslo (įskaitant savarankišką veiklą pradedančius asmenis) konsultavimas, pagalba randant tiekėjus, klientus; verslui (įskaitant savarankišką veiklą pradedančius asmenis) pradėti reikalingų priemonių suteikimas; mentorystė ,,verslas verslui“, teikiant konsultacijas konkretaus verslo kūrimo ir plėtros klausimais), didesnį dėmesį skiriant </w:t>
      </w:r>
      <w:r w:rsidR="00FF7318">
        <w:rPr>
          <w:rFonts w:eastAsia="MS Mincho"/>
          <w:color w:val="000000"/>
          <w:szCs w:val="24"/>
          <w:lang w:eastAsia="lt-LT"/>
        </w:rPr>
        <w:t xml:space="preserve">darbui su tikslinėmis grupėmis </w:t>
      </w:r>
      <w:r w:rsidRPr="00E520EF">
        <w:rPr>
          <w:rFonts w:eastAsia="MS Mincho"/>
          <w:color w:val="000000"/>
          <w:szCs w:val="24"/>
          <w:lang w:eastAsia="lt-LT"/>
        </w:rPr>
        <w:t>i</w:t>
      </w:r>
      <w:r w:rsidR="00FF7318">
        <w:rPr>
          <w:rFonts w:eastAsia="MS Mincho"/>
          <w:color w:val="000000"/>
          <w:szCs w:val="24"/>
          <w:lang w:eastAsia="lt-LT"/>
        </w:rPr>
        <w:t>r</w:t>
      </w:r>
      <w:r w:rsidRPr="00E520EF">
        <w:rPr>
          <w:rFonts w:eastAsia="MS Mincho"/>
          <w:color w:val="000000"/>
          <w:szCs w:val="24"/>
          <w:lang w:eastAsia="lt-LT"/>
        </w:rPr>
        <w:t xml:space="preserve"> 30-44 m. amžiaus žmonių verslumo skatinimui. Taip pat dėmesys skiriamas tarpsektorinių partnerysčių kūrimui, kad verslas, sąveikaudamas su kitais sektoriais, įgautų impulsų, idėjų</w:t>
      </w:r>
      <w:r w:rsidR="00FF7318">
        <w:rPr>
          <w:rFonts w:eastAsia="MS Mincho"/>
          <w:color w:val="000000"/>
          <w:szCs w:val="24"/>
          <w:lang w:eastAsia="lt-LT"/>
        </w:rPr>
        <w:t xml:space="preserve"> ir</w:t>
      </w:r>
      <w:r w:rsidRPr="00E520EF">
        <w:rPr>
          <w:rFonts w:eastAsia="MS Mincho"/>
          <w:color w:val="000000"/>
          <w:szCs w:val="24"/>
          <w:lang w:eastAsia="lt-LT"/>
        </w:rPr>
        <w:t xml:space="preserve"> taptų efektyvesnis. Pavyzdys yra 2012-2015 metais vykdytas projektas „Verslo ir kultūros partnerystė“, kur susiformavo savitarpio pagalbos ir bendradarbiavimo ryšiai tarp verslo ir kultūros organizacijų ir veikėjų.</w:t>
      </w:r>
    </w:p>
    <w:p w:rsidR="00E520EF" w:rsidRPr="00E520EF" w:rsidRDefault="00E520EF" w:rsidP="006D327D">
      <w:pPr>
        <w:spacing w:line="276" w:lineRule="auto"/>
        <w:jc w:val="left"/>
        <w:rPr>
          <w:rFonts w:eastAsia="MS Mincho"/>
          <w:color w:val="000000"/>
          <w:szCs w:val="24"/>
          <w:lang w:eastAsia="lt-LT"/>
        </w:rPr>
      </w:pPr>
      <w:r w:rsidRPr="00E520EF">
        <w:rPr>
          <w:rFonts w:eastAsia="MS Mincho"/>
          <w:color w:val="000000"/>
          <w:szCs w:val="24"/>
          <w:lang w:eastAsia="lt-LT"/>
        </w:rPr>
        <w:t>2015 met</w:t>
      </w:r>
      <w:r w:rsidR="00FF7318">
        <w:rPr>
          <w:rFonts w:eastAsia="MS Mincho"/>
          <w:color w:val="000000"/>
          <w:szCs w:val="24"/>
          <w:lang w:eastAsia="lt-LT"/>
        </w:rPr>
        <w:t>ai</w:t>
      </w:r>
      <w:r w:rsidRPr="00E520EF">
        <w:rPr>
          <w:rFonts w:eastAsia="MS Mincho"/>
          <w:color w:val="000000"/>
          <w:szCs w:val="24"/>
          <w:lang w:eastAsia="lt-LT"/>
        </w:rPr>
        <w:t xml:space="preserve">s ypač didelis dėmesys buvo skiriamas skatinti </w:t>
      </w:r>
      <w:r w:rsidR="00FF7318" w:rsidRPr="00E520EF">
        <w:rPr>
          <w:rFonts w:eastAsia="MS Mincho"/>
          <w:color w:val="000000"/>
          <w:szCs w:val="24"/>
          <w:lang w:eastAsia="lt-LT"/>
        </w:rPr>
        <w:t xml:space="preserve">kaimo vietovių </w:t>
      </w:r>
      <w:r w:rsidRPr="00E520EF">
        <w:rPr>
          <w:rFonts w:eastAsia="MS Mincho"/>
          <w:color w:val="000000"/>
          <w:szCs w:val="24"/>
          <w:lang w:eastAsia="lt-LT"/>
        </w:rPr>
        <w:t>smulkiuosius vietos produktų gamintojus. Rezultatas – augantis individualią veiklą vykdančių asmenų skaičius.</w:t>
      </w:r>
    </w:p>
    <w:p w:rsidR="00E520EF" w:rsidRDefault="00E520EF" w:rsidP="006D327D">
      <w:pPr>
        <w:spacing w:line="276" w:lineRule="auto"/>
        <w:jc w:val="left"/>
        <w:rPr>
          <w:rFonts w:eastAsia="MS Mincho"/>
          <w:color w:val="000000"/>
          <w:szCs w:val="24"/>
          <w:lang w:eastAsia="lt-LT"/>
        </w:rPr>
      </w:pPr>
      <w:r w:rsidRPr="00E520EF">
        <w:rPr>
          <w:rFonts w:eastAsia="MS Mincho"/>
          <w:color w:val="000000"/>
          <w:szCs w:val="24"/>
          <w:lang w:eastAsia="lt-LT"/>
        </w:rPr>
        <w:t>Šalia konkrečių paslaugų verslui ir tikslinėms grupėms, RTVIC skatina verslininkų, tikslinių grupių kūrybiškumą, pristato jiems pasaulines tendencijas, suteikia platesnį veiklos kontekstą – ypač Baltijos jūros makroregiono erdvę.</w:t>
      </w:r>
    </w:p>
    <w:p w:rsidR="00E520EF" w:rsidRPr="00AD0410" w:rsidRDefault="00E520EF" w:rsidP="006D327D">
      <w:pPr>
        <w:jc w:val="left"/>
        <w:rPr>
          <w:rFonts w:eastAsia="MS Mincho"/>
          <w:color w:val="000000"/>
          <w:szCs w:val="24"/>
          <w:lang w:eastAsia="lt-LT"/>
        </w:rPr>
      </w:pPr>
      <w:r w:rsidRPr="00AD0410">
        <w:rPr>
          <w:rFonts w:eastAsia="MS Mincho"/>
          <w:color w:val="000000"/>
          <w:szCs w:val="24"/>
          <w:lang w:eastAsia="lt-LT"/>
        </w:rPr>
        <w:t>2015 m. pabaigoje Rietavo verslo informacijos centras buvo pertvarkytas į Rietavo turizmo ir verslo informacijos centrą (RTVIC), tačiau turizmo informacijos srityje daromi tik pirmieji žingsniai.</w:t>
      </w:r>
      <w:r>
        <w:rPr>
          <w:rFonts w:eastAsia="MS Mincho"/>
          <w:color w:val="000000"/>
          <w:szCs w:val="24"/>
          <w:lang w:eastAsia="lt-LT"/>
        </w:rPr>
        <w:t xml:space="preserve"> </w:t>
      </w:r>
      <w:r w:rsidRPr="00AD0410">
        <w:rPr>
          <w:rFonts w:eastAsia="MS Mincho"/>
          <w:color w:val="000000"/>
          <w:szCs w:val="24"/>
          <w:lang w:eastAsia="lt-LT"/>
        </w:rPr>
        <w:t xml:space="preserve">Centras sukūrė (arba prisidėjo prie sukūrimo) turizmui patrauklių pasiūlymų: </w:t>
      </w:r>
    </w:p>
    <w:p w:rsidR="00E520EF" w:rsidRPr="00AD0410" w:rsidRDefault="00E520EF" w:rsidP="006D327D">
      <w:pPr>
        <w:numPr>
          <w:ilvl w:val="0"/>
          <w:numId w:val="16"/>
        </w:numPr>
        <w:jc w:val="left"/>
        <w:rPr>
          <w:rFonts w:eastAsia="MS Mincho"/>
          <w:color w:val="000000"/>
          <w:szCs w:val="24"/>
          <w:lang w:eastAsia="lt-LT"/>
        </w:rPr>
      </w:pPr>
      <w:r w:rsidRPr="00AD0410">
        <w:rPr>
          <w:rFonts w:eastAsia="MS Mincho"/>
          <w:color w:val="000000"/>
          <w:szCs w:val="24"/>
          <w:lang w:eastAsia="lt-LT"/>
        </w:rPr>
        <w:t>turistin</w:t>
      </w:r>
      <w:r w:rsidR="000C4C04">
        <w:rPr>
          <w:rFonts w:eastAsia="MS Mincho"/>
          <w:color w:val="000000"/>
          <w:szCs w:val="24"/>
          <w:lang w:eastAsia="lt-LT"/>
        </w:rPr>
        <w:t>į</w:t>
      </w:r>
      <w:r w:rsidRPr="00AD0410">
        <w:rPr>
          <w:rFonts w:eastAsia="MS Mincho"/>
          <w:color w:val="000000"/>
          <w:szCs w:val="24"/>
          <w:lang w:eastAsia="lt-LT"/>
        </w:rPr>
        <w:t xml:space="preserve"> maršrut</w:t>
      </w:r>
      <w:r w:rsidR="000C4C04">
        <w:rPr>
          <w:rFonts w:eastAsia="MS Mincho"/>
          <w:color w:val="000000"/>
          <w:szCs w:val="24"/>
          <w:lang w:eastAsia="lt-LT"/>
        </w:rPr>
        <w:t>ą</w:t>
      </w:r>
      <w:r w:rsidRPr="00AD0410">
        <w:rPr>
          <w:rFonts w:eastAsia="MS Mincho"/>
          <w:color w:val="000000"/>
          <w:szCs w:val="24"/>
          <w:lang w:eastAsia="lt-LT"/>
        </w:rPr>
        <w:t xml:space="preserve"> „Pieno kelias“, jungiant</w:t>
      </w:r>
      <w:r w:rsidR="000C4C04">
        <w:rPr>
          <w:rFonts w:eastAsia="MS Mincho"/>
          <w:color w:val="000000"/>
          <w:szCs w:val="24"/>
          <w:lang w:eastAsia="lt-LT"/>
        </w:rPr>
        <w:t>į</w:t>
      </w:r>
      <w:r w:rsidRPr="00AD0410">
        <w:rPr>
          <w:rFonts w:eastAsia="MS Mincho"/>
          <w:color w:val="000000"/>
          <w:szCs w:val="24"/>
          <w:lang w:eastAsia="lt-LT"/>
        </w:rPr>
        <w:t xml:space="preserve"> 4 savivaldybes ir siūlant</w:t>
      </w:r>
      <w:r w:rsidR="000C4C04">
        <w:rPr>
          <w:rFonts w:eastAsia="MS Mincho"/>
          <w:color w:val="000000"/>
          <w:szCs w:val="24"/>
          <w:lang w:eastAsia="lt-LT"/>
        </w:rPr>
        <w:t>į</w:t>
      </w:r>
      <w:r w:rsidRPr="00AD0410">
        <w:rPr>
          <w:rFonts w:eastAsia="MS Mincho"/>
          <w:color w:val="000000"/>
          <w:szCs w:val="24"/>
          <w:lang w:eastAsia="lt-LT"/>
        </w:rPr>
        <w:t xml:space="preserve"> 28 objektus;</w:t>
      </w:r>
    </w:p>
    <w:p w:rsidR="00E520EF" w:rsidRPr="00AD0410" w:rsidRDefault="00E520EF" w:rsidP="006D327D">
      <w:pPr>
        <w:numPr>
          <w:ilvl w:val="0"/>
          <w:numId w:val="16"/>
        </w:numPr>
        <w:jc w:val="left"/>
        <w:rPr>
          <w:rFonts w:eastAsia="MS Mincho"/>
          <w:color w:val="000000"/>
          <w:szCs w:val="24"/>
          <w:lang w:eastAsia="lt-LT"/>
        </w:rPr>
      </w:pPr>
      <w:r w:rsidRPr="00AD0410">
        <w:rPr>
          <w:rFonts w:eastAsia="MS Mincho"/>
          <w:color w:val="000000"/>
          <w:szCs w:val="24"/>
          <w:lang w:eastAsia="lt-LT"/>
        </w:rPr>
        <w:t>Rietavo kultūros gid</w:t>
      </w:r>
      <w:r w:rsidR="000C4C04">
        <w:rPr>
          <w:rFonts w:eastAsia="MS Mincho"/>
          <w:color w:val="000000"/>
          <w:szCs w:val="24"/>
          <w:lang w:eastAsia="lt-LT"/>
        </w:rPr>
        <w:t>ą</w:t>
      </w:r>
      <w:r w:rsidRPr="00AD0410">
        <w:rPr>
          <w:rFonts w:eastAsia="MS Mincho"/>
          <w:color w:val="000000"/>
          <w:szCs w:val="24"/>
          <w:lang w:eastAsia="lt-LT"/>
        </w:rPr>
        <w:t xml:space="preserve"> </w:t>
      </w:r>
      <w:r w:rsidR="000C4C04">
        <w:rPr>
          <w:rFonts w:eastAsia="MS Mincho"/>
          <w:color w:val="000000"/>
          <w:szCs w:val="24"/>
          <w:lang w:eastAsia="lt-LT"/>
        </w:rPr>
        <w:t>–</w:t>
      </w:r>
      <w:r w:rsidRPr="00AD0410">
        <w:rPr>
          <w:rFonts w:eastAsia="MS Mincho"/>
          <w:color w:val="000000"/>
          <w:szCs w:val="24"/>
          <w:lang w:eastAsia="lt-LT"/>
        </w:rPr>
        <w:t xml:space="preserve"> 30 regioninių produktų ir paslaugų pasiūlymų;</w:t>
      </w:r>
    </w:p>
    <w:p w:rsidR="00E520EF" w:rsidRPr="00AD0410" w:rsidRDefault="00E520EF" w:rsidP="006D327D">
      <w:pPr>
        <w:numPr>
          <w:ilvl w:val="0"/>
          <w:numId w:val="16"/>
        </w:numPr>
        <w:jc w:val="left"/>
        <w:rPr>
          <w:rFonts w:eastAsia="MS Mincho"/>
          <w:color w:val="000000"/>
          <w:szCs w:val="24"/>
          <w:lang w:eastAsia="lt-LT"/>
        </w:rPr>
      </w:pPr>
      <w:r w:rsidRPr="00AD0410">
        <w:rPr>
          <w:rFonts w:eastAsia="MS Mincho"/>
          <w:color w:val="000000"/>
          <w:szCs w:val="24"/>
          <w:lang w:eastAsia="lt-LT"/>
        </w:rPr>
        <w:t>Portal</w:t>
      </w:r>
      <w:r w:rsidR="000C4C04">
        <w:rPr>
          <w:rFonts w:eastAsia="MS Mincho"/>
          <w:color w:val="000000"/>
          <w:szCs w:val="24"/>
          <w:lang w:eastAsia="lt-LT"/>
        </w:rPr>
        <w:t>ą</w:t>
      </w:r>
      <w:r w:rsidRPr="00AD0410">
        <w:rPr>
          <w:rFonts w:eastAsia="MS Mincho"/>
          <w:color w:val="000000"/>
          <w:szCs w:val="24"/>
          <w:lang w:eastAsia="lt-LT"/>
        </w:rPr>
        <w:t xml:space="preserve"> </w:t>
      </w:r>
      <w:hyperlink r:id="rId100" w:history="1">
        <w:r w:rsidRPr="00AD0410">
          <w:rPr>
            <w:rStyle w:val="Hipersaitas"/>
            <w:rFonts w:eastAsia="MS Mincho"/>
            <w:szCs w:val="24"/>
            <w:lang w:eastAsia="lt-LT"/>
          </w:rPr>
          <w:t>www.veik.rietave.lt</w:t>
        </w:r>
      </w:hyperlink>
      <w:r w:rsidRPr="00AD0410">
        <w:rPr>
          <w:rFonts w:eastAsia="MS Mincho"/>
          <w:color w:val="000000"/>
          <w:szCs w:val="24"/>
          <w:lang w:eastAsia="lt-LT"/>
        </w:rPr>
        <w:t>, kuriame koncentruotai pateikiami renginiai, naujienos, skelbimų lenta, kūrėjų profiliai ir jų paslaugos, lankytinos vietos;</w:t>
      </w:r>
    </w:p>
    <w:p w:rsidR="00E520EF" w:rsidRPr="00AD0410" w:rsidRDefault="00E520EF" w:rsidP="006D327D">
      <w:pPr>
        <w:numPr>
          <w:ilvl w:val="0"/>
          <w:numId w:val="16"/>
        </w:numPr>
        <w:jc w:val="left"/>
        <w:rPr>
          <w:rFonts w:eastAsia="MS Mincho"/>
          <w:color w:val="000000"/>
          <w:szCs w:val="24"/>
          <w:lang w:eastAsia="lt-LT"/>
        </w:rPr>
      </w:pPr>
      <w:r w:rsidRPr="00AD0410">
        <w:rPr>
          <w:rFonts w:eastAsia="MS Mincho"/>
          <w:color w:val="000000"/>
          <w:szCs w:val="24"/>
          <w:lang w:eastAsia="lt-LT"/>
        </w:rPr>
        <w:t>4 sertifikuot</w:t>
      </w:r>
      <w:r w:rsidR="000C4C04">
        <w:rPr>
          <w:rFonts w:eastAsia="MS Mincho"/>
          <w:color w:val="000000"/>
          <w:szCs w:val="24"/>
          <w:lang w:eastAsia="lt-LT"/>
        </w:rPr>
        <w:t>us</w:t>
      </w:r>
      <w:r w:rsidRPr="00AD0410">
        <w:rPr>
          <w:rFonts w:eastAsia="MS Mincho"/>
          <w:color w:val="000000"/>
          <w:szCs w:val="24"/>
          <w:lang w:eastAsia="lt-LT"/>
        </w:rPr>
        <w:t xml:space="preserve"> tautinio paveldo produkt</w:t>
      </w:r>
      <w:r w:rsidR="000C4C04">
        <w:rPr>
          <w:rFonts w:eastAsia="MS Mincho"/>
          <w:color w:val="000000"/>
          <w:szCs w:val="24"/>
          <w:lang w:eastAsia="lt-LT"/>
        </w:rPr>
        <w:t>us</w:t>
      </w:r>
      <w:r w:rsidRPr="00AD0410">
        <w:rPr>
          <w:rFonts w:eastAsia="MS Mincho"/>
          <w:color w:val="000000"/>
          <w:szCs w:val="24"/>
          <w:lang w:eastAsia="lt-LT"/>
        </w:rPr>
        <w:t xml:space="preserve"> (R.</w:t>
      </w:r>
      <w:r w:rsidR="000C4C04">
        <w:rPr>
          <w:rFonts w:eastAsia="MS Mincho"/>
          <w:color w:val="000000"/>
          <w:szCs w:val="24"/>
          <w:lang w:eastAsia="lt-LT"/>
        </w:rPr>
        <w:t xml:space="preserve"> </w:t>
      </w:r>
      <w:r w:rsidRPr="00AD0410">
        <w:rPr>
          <w:rFonts w:eastAsia="MS Mincho"/>
          <w:color w:val="000000"/>
          <w:szCs w:val="24"/>
          <w:lang w:eastAsia="lt-LT"/>
        </w:rPr>
        <w:t>Pakštienės veltiniai, V</w:t>
      </w:r>
      <w:r w:rsidR="000C4C04">
        <w:rPr>
          <w:rFonts w:eastAsia="MS Mincho"/>
          <w:color w:val="000000"/>
          <w:szCs w:val="24"/>
          <w:lang w:eastAsia="lt-LT"/>
        </w:rPr>
        <w:t xml:space="preserve">. </w:t>
      </w:r>
      <w:r w:rsidRPr="00AD0410">
        <w:rPr>
          <w:rFonts w:eastAsia="MS Mincho"/>
          <w:color w:val="000000"/>
          <w:szCs w:val="24"/>
          <w:lang w:eastAsia="lt-LT"/>
        </w:rPr>
        <w:t>Judeikienės mielinis pyragas, A.</w:t>
      </w:r>
      <w:r w:rsidR="000C4C04">
        <w:rPr>
          <w:rFonts w:eastAsia="MS Mincho"/>
          <w:color w:val="000000"/>
          <w:szCs w:val="24"/>
          <w:lang w:eastAsia="lt-LT"/>
        </w:rPr>
        <w:t xml:space="preserve"> </w:t>
      </w:r>
      <w:r w:rsidRPr="00AD0410">
        <w:rPr>
          <w:rFonts w:eastAsia="MS Mincho"/>
          <w:color w:val="000000"/>
          <w:szCs w:val="24"/>
          <w:lang w:eastAsia="lt-LT"/>
        </w:rPr>
        <w:t>Krajino mediniai žaislai, V</w:t>
      </w:r>
      <w:r w:rsidR="000C4C04">
        <w:rPr>
          <w:rFonts w:eastAsia="MS Mincho"/>
          <w:color w:val="000000"/>
          <w:szCs w:val="24"/>
          <w:lang w:eastAsia="lt-LT"/>
        </w:rPr>
        <w:t xml:space="preserve">. </w:t>
      </w:r>
      <w:r w:rsidRPr="00AD0410">
        <w:rPr>
          <w:rFonts w:eastAsia="MS Mincho"/>
          <w:color w:val="000000"/>
          <w:szCs w:val="24"/>
          <w:lang w:eastAsia="lt-LT"/>
        </w:rPr>
        <w:t>Bizausko žolelės).</w:t>
      </w:r>
    </w:p>
    <w:p w:rsidR="00E520EF" w:rsidRPr="00E520EF" w:rsidRDefault="00E520EF" w:rsidP="006D327D">
      <w:pPr>
        <w:numPr>
          <w:ilvl w:val="0"/>
          <w:numId w:val="16"/>
        </w:numPr>
        <w:jc w:val="left"/>
        <w:rPr>
          <w:rFonts w:eastAsia="MS Mincho"/>
          <w:color w:val="000000"/>
          <w:szCs w:val="24"/>
          <w:lang w:eastAsia="lt-LT"/>
        </w:rPr>
      </w:pPr>
      <w:r w:rsidRPr="00E520EF">
        <w:rPr>
          <w:rFonts w:eastAsia="MS Mincho"/>
          <w:color w:val="000000"/>
          <w:szCs w:val="24"/>
          <w:lang w:eastAsia="lt-LT"/>
        </w:rPr>
        <w:t>2 amatų centr</w:t>
      </w:r>
      <w:r w:rsidR="000C4C04">
        <w:rPr>
          <w:rFonts w:eastAsia="MS Mincho"/>
          <w:color w:val="000000"/>
          <w:szCs w:val="24"/>
          <w:lang w:eastAsia="lt-LT"/>
        </w:rPr>
        <w:t>us</w:t>
      </w:r>
      <w:r w:rsidRPr="00E520EF">
        <w:rPr>
          <w:rFonts w:eastAsia="MS Mincho"/>
          <w:color w:val="000000"/>
          <w:szCs w:val="24"/>
          <w:lang w:eastAsia="lt-LT"/>
        </w:rPr>
        <w:t>: Medingėnų amatų centr</w:t>
      </w:r>
      <w:r w:rsidR="000C4C04">
        <w:rPr>
          <w:rFonts w:eastAsia="MS Mincho"/>
          <w:color w:val="000000"/>
          <w:szCs w:val="24"/>
          <w:lang w:eastAsia="lt-LT"/>
        </w:rPr>
        <w:t>ą</w:t>
      </w:r>
      <w:r w:rsidRPr="00E520EF">
        <w:rPr>
          <w:rFonts w:eastAsia="MS Mincho"/>
          <w:color w:val="000000"/>
          <w:szCs w:val="24"/>
          <w:lang w:eastAsia="lt-LT"/>
        </w:rPr>
        <w:t xml:space="preserve">, </w:t>
      </w:r>
      <w:r w:rsidR="000C4C04">
        <w:rPr>
          <w:rFonts w:eastAsia="MS Mincho"/>
          <w:color w:val="000000"/>
          <w:szCs w:val="24"/>
          <w:lang w:eastAsia="lt-LT"/>
        </w:rPr>
        <w:t>v</w:t>
      </w:r>
      <w:r w:rsidRPr="00E520EF">
        <w:rPr>
          <w:rFonts w:eastAsia="MS Mincho"/>
          <w:color w:val="000000"/>
          <w:szCs w:val="24"/>
          <w:lang w:eastAsia="lt-LT"/>
        </w:rPr>
        <w:t>irtual</w:t>
      </w:r>
      <w:r w:rsidR="000C4C04">
        <w:rPr>
          <w:rFonts w:eastAsia="MS Mincho"/>
          <w:color w:val="000000"/>
          <w:szCs w:val="24"/>
          <w:lang w:eastAsia="lt-LT"/>
        </w:rPr>
        <w:t>ų</w:t>
      </w:r>
      <w:r w:rsidRPr="00E520EF">
        <w:rPr>
          <w:rFonts w:eastAsia="MS Mincho"/>
          <w:color w:val="000000"/>
          <w:szCs w:val="24"/>
          <w:lang w:eastAsia="lt-LT"/>
        </w:rPr>
        <w:t xml:space="preserve"> amatų centr</w:t>
      </w:r>
      <w:r w:rsidR="000C4C04">
        <w:rPr>
          <w:rFonts w:eastAsia="MS Mincho"/>
          <w:color w:val="000000"/>
          <w:szCs w:val="24"/>
          <w:lang w:eastAsia="lt-LT"/>
        </w:rPr>
        <w:t>ą</w:t>
      </w:r>
      <w:r w:rsidRPr="00E520EF">
        <w:rPr>
          <w:rFonts w:eastAsia="MS Mincho"/>
          <w:color w:val="000000"/>
          <w:szCs w:val="24"/>
          <w:lang w:eastAsia="lt-LT"/>
        </w:rPr>
        <w:t xml:space="preserve"> </w:t>
      </w:r>
      <w:hyperlink r:id="rId101" w:history="1">
        <w:r w:rsidRPr="00E520EF">
          <w:rPr>
            <w:rStyle w:val="Hipersaitas"/>
            <w:rFonts w:eastAsia="MS Mincho"/>
            <w:szCs w:val="24"/>
            <w:lang w:eastAsia="lt-LT"/>
          </w:rPr>
          <w:t>http://www.rietavovic.lt/lt/amatu-centras</w:t>
        </w:r>
      </w:hyperlink>
      <w:r w:rsidRPr="00E520EF">
        <w:rPr>
          <w:rFonts w:eastAsia="MS Mincho"/>
          <w:color w:val="000000"/>
          <w:szCs w:val="24"/>
          <w:lang w:eastAsia="lt-LT"/>
        </w:rPr>
        <w:t>.</w:t>
      </w:r>
    </w:p>
    <w:p w:rsidR="00E520EF" w:rsidRPr="00E520EF" w:rsidRDefault="00E520EF" w:rsidP="006D327D">
      <w:pPr>
        <w:spacing w:line="276" w:lineRule="auto"/>
        <w:jc w:val="left"/>
        <w:rPr>
          <w:rFonts w:eastAsia="MS Mincho"/>
          <w:color w:val="000000"/>
          <w:szCs w:val="24"/>
          <w:lang w:eastAsia="lt-LT"/>
        </w:rPr>
      </w:pPr>
      <w:r w:rsidRPr="00AD0410">
        <w:rPr>
          <w:rFonts w:eastAsia="MS Mincho"/>
          <w:color w:val="000000"/>
          <w:szCs w:val="24"/>
          <w:lang w:eastAsia="lt-LT"/>
        </w:rPr>
        <w:t>Taip pat buvo kuriamos rinkodaros priemonės, kuriomis naudojasi ir gali naudotis turizmo paslaugų teikėjai</w:t>
      </w:r>
      <w:r w:rsidR="000C4C04">
        <w:rPr>
          <w:rFonts w:eastAsia="MS Mincho"/>
          <w:color w:val="000000"/>
          <w:szCs w:val="24"/>
          <w:lang w:eastAsia="lt-LT"/>
        </w:rPr>
        <w:t>.</w:t>
      </w:r>
    </w:p>
    <w:p w:rsidR="00E520EF" w:rsidRPr="0011655F" w:rsidRDefault="00B84FE8" w:rsidP="006D327D">
      <w:pPr>
        <w:ind w:firstLine="0"/>
        <w:jc w:val="left"/>
        <w:rPr>
          <w:szCs w:val="24"/>
        </w:rPr>
      </w:pPr>
      <w:r w:rsidRPr="00630125">
        <w:rPr>
          <w:i/>
          <w:szCs w:val="24"/>
        </w:rPr>
        <w:lastRenderedPageBreak/>
        <w:t xml:space="preserve">           </w:t>
      </w:r>
      <w:r w:rsidRPr="00E520EF">
        <w:rPr>
          <w:szCs w:val="24"/>
        </w:rPr>
        <w:t xml:space="preserve"> </w:t>
      </w:r>
      <w:r w:rsidR="00E520EF" w:rsidRPr="00E520EF">
        <w:rPr>
          <w:szCs w:val="24"/>
        </w:rPr>
        <w:t>2015 metais VšĮ Rietavo turizmo ir verslo informacijos centras:</w:t>
      </w:r>
      <w:r w:rsidR="00E520EF">
        <w:rPr>
          <w:szCs w:val="24"/>
        </w:rPr>
        <w:t xml:space="preserve"> </w:t>
      </w:r>
      <w:r w:rsidR="00E520EF" w:rsidRPr="0011655F">
        <w:rPr>
          <w:szCs w:val="24"/>
        </w:rPr>
        <w:t>atsakė į paklausimus (6030 vnt., 320 val.), suteikė konsultacijų (920 val.</w:t>
      </w:r>
      <w:r w:rsidR="000C4C04">
        <w:rPr>
          <w:szCs w:val="24"/>
        </w:rPr>
        <w:t>,</w:t>
      </w:r>
      <w:r w:rsidR="00E520EF" w:rsidRPr="0011655F">
        <w:rPr>
          <w:szCs w:val="24"/>
        </w:rPr>
        <w:t xml:space="preserve"> 260 subjektų), organizavo mokymus (27 mokymai, 185 val., 497 dalyviai</w:t>
      </w:r>
      <w:r w:rsidR="000C4C04">
        <w:rPr>
          <w:szCs w:val="24"/>
        </w:rPr>
        <w:t>)</w:t>
      </w:r>
      <w:r w:rsidR="00E520EF" w:rsidRPr="0011655F">
        <w:rPr>
          <w:szCs w:val="24"/>
        </w:rPr>
        <w:t xml:space="preserve">. 2015 m. </w:t>
      </w:r>
      <w:r w:rsidR="000C4C04">
        <w:rPr>
          <w:szCs w:val="24"/>
        </w:rPr>
        <w:t>vyko</w:t>
      </w:r>
      <w:r w:rsidR="00E520EF" w:rsidRPr="0011655F">
        <w:rPr>
          <w:szCs w:val="24"/>
        </w:rPr>
        <w:t xml:space="preserve"> 27 mokymai, </w:t>
      </w:r>
      <w:r w:rsidR="000C4C04">
        <w:rPr>
          <w:szCs w:val="24"/>
        </w:rPr>
        <w:t>kuriuose</w:t>
      </w:r>
      <w:r w:rsidR="00E520EF" w:rsidRPr="0011655F">
        <w:rPr>
          <w:szCs w:val="24"/>
        </w:rPr>
        <w:t xml:space="preserve"> dalyvavo 497 asmenys), </w:t>
      </w:r>
      <w:r w:rsidR="000C4C04">
        <w:rPr>
          <w:szCs w:val="24"/>
        </w:rPr>
        <w:t xml:space="preserve">organizavo </w:t>
      </w:r>
      <w:r w:rsidR="00E520EF" w:rsidRPr="0011655F">
        <w:rPr>
          <w:szCs w:val="24"/>
        </w:rPr>
        <w:t>renginius (28 tinklaveikos renginiai, 10 konferencijų, 7 informacinės sklaidos renginiai), administravo du interneto puslapius (</w:t>
      </w:r>
      <w:hyperlink r:id="rId102" w:history="1">
        <w:r w:rsidR="00E520EF" w:rsidRPr="0011655F">
          <w:rPr>
            <w:rStyle w:val="Hipersaitas"/>
            <w:szCs w:val="24"/>
          </w:rPr>
          <w:t>www.rietavovic.lt</w:t>
        </w:r>
      </w:hyperlink>
      <w:r w:rsidR="00E520EF" w:rsidRPr="0011655F">
        <w:rPr>
          <w:szCs w:val="24"/>
        </w:rPr>
        <w:t xml:space="preserve"> ir </w:t>
      </w:r>
      <w:hyperlink r:id="rId103" w:history="1">
        <w:r w:rsidR="00E520EF" w:rsidRPr="0011655F">
          <w:rPr>
            <w:rStyle w:val="Hipersaitas"/>
            <w:szCs w:val="24"/>
          </w:rPr>
          <w:t>www.veik.rietave.lt</w:t>
        </w:r>
      </w:hyperlink>
      <w:r w:rsidR="00E520EF" w:rsidRPr="0011655F">
        <w:rPr>
          <w:szCs w:val="24"/>
        </w:rPr>
        <w:t>)</w:t>
      </w:r>
      <w:r w:rsidR="0011655F" w:rsidRPr="0011655F">
        <w:rPr>
          <w:szCs w:val="24"/>
        </w:rPr>
        <w:t>, pareng</w:t>
      </w:r>
      <w:r w:rsidR="000C4C04">
        <w:rPr>
          <w:szCs w:val="24"/>
        </w:rPr>
        <w:t>ė</w:t>
      </w:r>
      <w:r w:rsidR="0011655F" w:rsidRPr="0011655F">
        <w:rPr>
          <w:szCs w:val="24"/>
        </w:rPr>
        <w:t xml:space="preserve"> ir išlei</w:t>
      </w:r>
      <w:r w:rsidR="000C4C04">
        <w:rPr>
          <w:szCs w:val="24"/>
        </w:rPr>
        <w:t>do</w:t>
      </w:r>
      <w:r w:rsidR="0011655F" w:rsidRPr="0011655F">
        <w:rPr>
          <w:szCs w:val="24"/>
        </w:rPr>
        <w:t xml:space="preserve"> 1 metodin</w:t>
      </w:r>
      <w:r w:rsidR="000C4C04">
        <w:rPr>
          <w:szCs w:val="24"/>
        </w:rPr>
        <w:t>į</w:t>
      </w:r>
      <w:r w:rsidR="0011655F" w:rsidRPr="0011655F">
        <w:rPr>
          <w:szCs w:val="24"/>
        </w:rPr>
        <w:t xml:space="preserve"> verslumą ir turizmą skatinant</w:t>
      </w:r>
      <w:r w:rsidR="000C4C04">
        <w:rPr>
          <w:szCs w:val="24"/>
        </w:rPr>
        <w:t>į</w:t>
      </w:r>
      <w:r w:rsidR="0011655F" w:rsidRPr="0011655F">
        <w:rPr>
          <w:szCs w:val="24"/>
        </w:rPr>
        <w:t xml:space="preserve"> leidin</w:t>
      </w:r>
      <w:r w:rsidR="000C4C04">
        <w:rPr>
          <w:szCs w:val="24"/>
        </w:rPr>
        <w:t>į</w:t>
      </w:r>
      <w:r w:rsidR="0011655F" w:rsidRPr="0011655F">
        <w:rPr>
          <w:szCs w:val="24"/>
        </w:rPr>
        <w:t xml:space="preserve"> ir kt. </w:t>
      </w:r>
    </w:p>
    <w:p w:rsidR="00E97ECA" w:rsidRPr="00630125" w:rsidRDefault="00B84FE8" w:rsidP="006D327D">
      <w:pPr>
        <w:ind w:firstLine="0"/>
        <w:jc w:val="left"/>
        <w:rPr>
          <w:i/>
        </w:rPr>
      </w:pPr>
      <w:r w:rsidRPr="00630125">
        <w:rPr>
          <w:i/>
          <w:szCs w:val="24"/>
        </w:rPr>
        <w:t xml:space="preserve">  </w:t>
      </w:r>
    </w:p>
    <w:p w:rsidR="00E97ECA" w:rsidRPr="00630125" w:rsidRDefault="00E97ECA" w:rsidP="00E97ECA">
      <w:pPr>
        <w:jc w:val="center"/>
        <w:rPr>
          <w:b/>
          <w:i/>
        </w:rPr>
      </w:pPr>
    </w:p>
    <w:p w:rsidR="00E97ECA" w:rsidRPr="005B4F2D" w:rsidRDefault="00E97ECA" w:rsidP="006D327D">
      <w:pPr>
        <w:ind w:firstLine="680"/>
        <w:jc w:val="left"/>
      </w:pPr>
      <w:r w:rsidRPr="005B4F2D">
        <w:t xml:space="preserve">Meras yra atskaitingas Tarybai ir Savivaldybės bendruomenei, todėl kasmet pateikiama veiklos ataskaita, susitikimuose su seniūnijų gyventojais išklausomos jų nuomonės, pageidavimai, į juos atsižvelgiama tolesniame darbe.      </w:t>
      </w:r>
    </w:p>
    <w:p w:rsidR="00E97ECA" w:rsidRPr="005B4F2D" w:rsidRDefault="00E97ECA" w:rsidP="006D327D">
      <w:pPr>
        <w:jc w:val="left"/>
      </w:pPr>
      <w:r w:rsidRPr="005B4F2D">
        <w:t>Esu Lietuvos savivaldybių asociacijos tarybos</w:t>
      </w:r>
      <w:r w:rsidR="007873C9">
        <w:t>, Savivaldybių kaimo reikalų komiteto</w:t>
      </w:r>
      <w:r w:rsidRPr="005B4F2D">
        <w:t xml:space="preserve"> ir „Savivaldybių žinių“ redkolegijos narys. Taip pat esu Telšių regiono plėtros tarybos pirmininkas.</w:t>
      </w:r>
      <w:r w:rsidR="0057271B">
        <w:t xml:space="preserve"> </w:t>
      </w:r>
    </w:p>
    <w:p w:rsidR="00E97ECA" w:rsidRDefault="00E97ECA" w:rsidP="006D327D">
      <w:pPr>
        <w:ind w:firstLine="0"/>
        <w:jc w:val="left"/>
        <w:rPr>
          <w:rStyle w:val="Grietas"/>
          <w:b w:val="0"/>
        </w:rPr>
      </w:pPr>
      <w:r w:rsidRPr="0057271B">
        <w:rPr>
          <w:sz w:val="22"/>
          <w:szCs w:val="22"/>
        </w:rPr>
        <w:t xml:space="preserve">            </w:t>
      </w:r>
      <w:r w:rsidRPr="0057271B">
        <w:rPr>
          <w:rStyle w:val="Grietas"/>
          <w:b w:val="0"/>
        </w:rPr>
        <w:t xml:space="preserve">Vykdydamas savo tiesiogines funkcijas ir pareigas, rūpinausi, kad būtų deramai atstovaujama Savivaldybės interesams bendradarbiaujant ir sprendžiant klausimus su valstybės valdžios ir valstybinio administravimo subjektais, teisėsaugos institucijomis, nevyriausybinėmis organizacijomis. Atstovaudamas Savivaldybės interesams, inicijavau susitikimus LR finansų, ūkio, švietimo ir mokslo, sveikatos, kultūros, susisiekimo, socialinės apsaugos ir darbo, aplinkos apsaugos, vidaus reikalų,  žemės ūkio, aplinkos ministerijose. Ne kartą susitikau su ministrais ir viceministrais, Kultūros paveldo departamento, Kūno kultūros ir sporto departamento, Automobilių kelių direkcijos vadovais ir atsakingais pareigūnais sprendžiant įvairius aktualius klausimus ir  problemas. </w:t>
      </w:r>
    </w:p>
    <w:p w:rsidR="002572ED" w:rsidRDefault="002572ED" w:rsidP="006D327D">
      <w:pPr>
        <w:ind w:firstLine="0"/>
        <w:jc w:val="left"/>
        <w:rPr>
          <w:color w:val="333333"/>
          <w:szCs w:val="24"/>
          <w:shd w:val="clear" w:color="auto" w:fill="FFFFFF"/>
        </w:rPr>
      </w:pPr>
      <w:r>
        <w:rPr>
          <w:rStyle w:val="Grietas"/>
          <w:b w:val="0"/>
        </w:rPr>
        <w:t xml:space="preserve">            2015 m. balandžio 27 d. dalyvavau susitikime su Lietuvos Respublikos Prezidente Dalia Grybauskaite, kur buvo </w:t>
      </w:r>
      <w:r w:rsidRPr="002572ED">
        <w:rPr>
          <w:color w:val="333333"/>
          <w:szCs w:val="24"/>
          <w:shd w:val="clear" w:color="auto" w:fill="FFFFFF"/>
        </w:rPr>
        <w:t>aptartos regionų problemos ir pagrindiniai</w:t>
      </w:r>
      <w:r>
        <w:rPr>
          <w:color w:val="333333"/>
          <w:szCs w:val="24"/>
          <w:shd w:val="clear" w:color="auto" w:fill="FFFFFF"/>
        </w:rPr>
        <w:t xml:space="preserve"> </w:t>
      </w:r>
      <w:r w:rsidRPr="002572ED">
        <w:rPr>
          <w:color w:val="333333"/>
          <w:szCs w:val="24"/>
          <w:shd w:val="clear" w:color="auto" w:fill="FFFFFF"/>
        </w:rPr>
        <w:t>naujų merų darbai.</w:t>
      </w:r>
    </w:p>
    <w:p w:rsidR="00FB48AE" w:rsidRPr="002572ED" w:rsidRDefault="00FB48AE" w:rsidP="006D327D">
      <w:pPr>
        <w:ind w:firstLine="0"/>
        <w:jc w:val="left"/>
        <w:rPr>
          <w:rStyle w:val="Grietas"/>
          <w:b w:val="0"/>
          <w:szCs w:val="24"/>
        </w:rPr>
      </w:pPr>
      <w:r>
        <w:rPr>
          <w:color w:val="333333"/>
          <w:szCs w:val="24"/>
          <w:shd w:val="clear" w:color="auto" w:fill="FFFFFF"/>
        </w:rPr>
        <w:t xml:space="preserve">            2015 m. rugsėjo mėn. dalyvavau susitikime su Žemės ūkio ministerijos atstovais, kur buvo aptartos afrikinio kiaulių maro grėsmės, jo kontrolės ir prevencijos priemonės. Susitikimo metu buvo pasirašytas memorandumas dėl pilietinės iniciatyvos „AuGink savo kraštą“. </w:t>
      </w:r>
    </w:p>
    <w:p w:rsidR="006E0652" w:rsidRDefault="00E97ECA" w:rsidP="006D327D">
      <w:pPr>
        <w:jc w:val="left"/>
        <w:rPr>
          <w:i/>
        </w:rPr>
      </w:pPr>
      <w:r w:rsidRPr="0057271B">
        <w:t xml:space="preserve">Esu  Savivaldybės atstovas Lietuvos savivaldybių asociacijoje. Dalyvavau visuose asociacijos tarybos posėdžiuose, pasisakiau, kad būtų tobulinamas Biudžeto sandaros įstatymas, atsižvelgiama į savivaldybių finansines reikmes, teikiau pastabas </w:t>
      </w:r>
      <w:r w:rsidRPr="007873C9">
        <w:t>dėl</w:t>
      </w:r>
      <w:r w:rsidR="0057271B" w:rsidRPr="007873C9">
        <w:t xml:space="preserve"> regioninės politikos.</w:t>
      </w:r>
      <w:r w:rsidRPr="00630125">
        <w:rPr>
          <w:i/>
        </w:rPr>
        <w:t xml:space="preserve"> </w:t>
      </w:r>
      <w:r w:rsidR="006E0652">
        <w:rPr>
          <w:i/>
        </w:rPr>
        <w:t xml:space="preserve">             </w:t>
      </w:r>
    </w:p>
    <w:p w:rsidR="00E97ECA" w:rsidRPr="0057271B" w:rsidRDefault="0057271B" w:rsidP="006D327D">
      <w:pPr>
        <w:jc w:val="left"/>
      </w:pPr>
      <w:r w:rsidRPr="0057271B">
        <w:t>D</w:t>
      </w:r>
      <w:r w:rsidR="00E97ECA" w:rsidRPr="0057271B">
        <w:t>omėjausi, kaip dirba seniūnaičiai</w:t>
      </w:r>
      <w:r w:rsidR="00986BD9">
        <w:t xml:space="preserve">. </w:t>
      </w:r>
      <w:r w:rsidR="00FE223E">
        <w:t>Ne kartą lank</w:t>
      </w:r>
      <w:r w:rsidR="005F247E">
        <w:t>iau</w:t>
      </w:r>
      <w:r w:rsidR="00FE223E">
        <w:t>si seniūnijose, organizav</w:t>
      </w:r>
      <w:r w:rsidR="005F247E">
        <w:t>au</w:t>
      </w:r>
      <w:r w:rsidR="00FE223E">
        <w:t xml:space="preserve"> susitikimus su gyventojais. </w:t>
      </w:r>
      <w:r w:rsidR="005F247E">
        <w:t>Jų metu p</w:t>
      </w:r>
      <w:r w:rsidR="00FE223E">
        <w:t>rista</w:t>
      </w:r>
      <w:r w:rsidR="005F247E">
        <w:t>čiau</w:t>
      </w:r>
      <w:r w:rsidR="00FE223E">
        <w:t xml:space="preserve"> artimiausius Savivaldybės darbus, aptar</w:t>
      </w:r>
      <w:r w:rsidR="005F247E">
        <w:t>iau</w:t>
      </w:r>
      <w:r w:rsidR="00FE223E">
        <w:t xml:space="preserve"> kasdienes problemas </w:t>
      </w:r>
      <w:r w:rsidR="00E97ECA" w:rsidRPr="0057271B">
        <w:t xml:space="preserve"> </w:t>
      </w:r>
      <w:r w:rsidR="00FE223E">
        <w:t>(kelių, kaimų tvarkymo, transporto, medicininės problemos), informav</w:t>
      </w:r>
      <w:r w:rsidR="005F247E">
        <w:t>au</w:t>
      </w:r>
      <w:r w:rsidR="00FE223E">
        <w:t xml:space="preserve"> apie numatomus pakeitimus deklaruojant pasėlius, žemės ūkio technikos techninėje apžiūroje, naujoves tvarkant atliekas ir kt.</w:t>
      </w:r>
    </w:p>
    <w:p w:rsidR="00E97ECA" w:rsidRDefault="00E97ECA" w:rsidP="006D327D">
      <w:pPr>
        <w:jc w:val="left"/>
      </w:pPr>
      <w:r w:rsidRPr="0057271B">
        <w:t>Per ataskaitinį laikotarpį kontroliavau ir  prižiūrėjau  Savivaldybės viešojo  administravimo institucijas, domėjausi  Savivaldybės administracijos, jos skyrių darbu, ne kartą aplankiau visas seniūnijas, daugelį Savivaldybės  biudžetinių  ir viešųjų įstaigų, įmonių, domėjausi jų vadovų veikla, kontroliavau, kaip jie įgyvendina  įstatymus, Vyriausybės nutarimus, Tarybos sprendimus, kalbėjausi su seniūnijų gyventojais, įstaigų lankytojais, įmonių darbuotojais, jų pareikštas pastabas, pageidavimus, pasiūlymus aptariau su vadovais.</w:t>
      </w:r>
    </w:p>
    <w:p w:rsidR="00E66030" w:rsidRPr="006E0652" w:rsidRDefault="0095747B" w:rsidP="006D327D">
      <w:pPr>
        <w:jc w:val="left"/>
      </w:pPr>
      <w:r w:rsidRPr="006E0652">
        <w:rPr>
          <w:bCs/>
        </w:rPr>
        <w:t>Atgaivinau tradiciją sukviesti verslo atstovus į Mero pusryčius. 2015 m. buvo organizuoti 2 tokie susitikimai. Jų metų gimė idėja sutvarkyti Rietavo Švento Arkangelo Mykolo bažnyčios šventoriaus takus.</w:t>
      </w:r>
    </w:p>
    <w:p w:rsidR="006E0652" w:rsidRPr="0057271B" w:rsidRDefault="0095747B" w:rsidP="006D327D">
      <w:pPr>
        <w:jc w:val="left"/>
      </w:pPr>
      <w:r w:rsidRPr="006E0652">
        <w:rPr>
          <w:bCs/>
        </w:rPr>
        <w:t xml:space="preserve">Susitikimų metu verslininkai turėjo galimybę pabendrauti ir aptarti problemas su Rietavo policijos komisariato, Telšių apskrities Valstybinės mokesčių inspekcijos, Telšių teritorinės darbo biržos, Savivaldybės administracijos atstovais. </w:t>
      </w:r>
    </w:p>
    <w:p w:rsidR="00E97ECA" w:rsidRPr="00564515" w:rsidRDefault="00E97ECA" w:rsidP="006D327D">
      <w:pPr>
        <w:ind w:firstLine="0"/>
        <w:jc w:val="left"/>
      </w:pPr>
      <w:r w:rsidRPr="00630125">
        <w:rPr>
          <w:i/>
        </w:rPr>
        <w:t xml:space="preserve">            </w:t>
      </w:r>
      <w:r w:rsidRPr="00564515">
        <w:t>201</w:t>
      </w:r>
      <w:r w:rsidR="00564515" w:rsidRPr="00564515">
        <w:t>5</w:t>
      </w:r>
      <w:r w:rsidRPr="00564515">
        <w:t xml:space="preserve"> m.  parašiau 2</w:t>
      </w:r>
      <w:r w:rsidR="00564515" w:rsidRPr="00564515">
        <w:t>4</w:t>
      </w:r>
      <w:r w:rsidRPr="00564515">
        <w:t xml:space="preserve"> potvarkius veiklos organizavimo klausimais, </w:t>
      </w:r>
      <w:r w:rsidR="00564515" w:rsidRPr="00564515">
        <w:t>16</w:t>
      </w:r>
      <w:r w:rsidRPr="00564515">
        <w:t xml:space="preserve">  potvarki</w:t>
      </w:r>
      <w:r w:rsidR="00564515" w:rsidRPr="00564515">
        <w:t>ų</w:t>
      </w:r>
      <w:r w:rsidRPr="00564515">
        <w:t xml:space="preserve"> </w:t>
      </w:r>
      <w:r w:rsidR="000C4C04">
        <w:t>–</w:t>
      </w:r>
      <w:r w:rsidRPr="00564515">
        <w:t xml:space="preserve">  komandiruočių klausimais</w:t>
      </w:r>
      <w:r w:rsidR="00564515" w:rsidRPr="00564515">
        <w:t>, 13 potvarkių – atostogų klausimais ir 6 potvarkius – personalo klausimais</w:t>
      </w:r>
      <w:r w:rsidRPr="00564515">
        <w:t xml:space="preserve">.  </w:t>
      </w:r>
    </w:p>
    <w:p w:rsidR="00E97ECA" w:rsidRPr="00630125" w:rsidRDefault="00E97ECA" w:rsidP="00E97ECA">
      <w:pPr>
        <w:rPr>
          <w:i/>
        </w:rPr>
      </w:pPr>
      <w:r w:rsidRPr="00630125">
        <w:rPr>
          <w:i/>
        </w:rPr>
        <w:t xml:space="preserve">    </w:t>
      </w:r>
    </w:p>
    <w:p w:rsidR="00E97ECA" w:rsidRPr="000C2C56" w:rsidRDefault="00E97ECA" w:rsidP="00E97ECA">
      <w:pPr>
        <w:ind w:firstLine="0"/>
        <w:jc w:val="center"/>
        <w:rPr>
          <w:rStyle w:val="Grietas"/>
          <w:szCs w:val="24"/>
        </w:rPr>
      </w:pPr>
      <w:r w:rsidRPr="000C2C56">
        <w:rPr>
          <w:rStyle w:val="Grietas"/>
          <w:szCs w:val="24"/>
        </w:rPr>
        <w:t>VIZITAI</w:t>
      </w:r>
    </w:p>
    <w:p w:rsidR="00E97ECA" w:rsidRPr="00630125" w:rsidRDefault="00E97ECA" w:rsidP="00E97ECA">
      <w:pPr>
        <w:ind w:firstLine="680"/>
        <w:rPr>
          <w:i/>
        </w:rPr>
      </w:pPr>
    </w:p>
    <w:p w:rsidR="00E97ECA" w:rsidRPr="000C2C56" w:rsidRDefault="00E97ECA" w:rsidP="006D327D">
      <w:pPr>
        <w:pStyle w:val="Betarp"/>
        <w:rPr>
          <w:rFonts w:eastAsia="Times New Roman"/>
          <w:color w:val="333333"/>
          <w:sz w:val="24"/>
          <w:szCs w:val="24"/>
          <w:lang w:eastAsia="lt-LT"/>
        </w:rPr>
      </w:pPr>
      <w:r w:rsidRPr="00630125">
        <w:rPr>
          <w:i/>
          <w:sz w:val="24"/>
          <w:szCs w:val="24"/>
        </w:rPr>
        <w:t xml:space="preserve">            </w:t>
      </w:r>
      <w:r w:rsidRPr="000C2C56">
        <w:rPr>
          <w:sz w:val="24"/>
          <w:szCs w:val="24"/>
        </w:rPr>
        <w:t>201</w:t>
      </w:r>
      <w:r w:rsidR="000C2C56" w:rsidRPr="000C2C56">
        <w:rPr>
          <w:sz w:val="24"/>
          <w:szCs w:val="24"/>
        </w:rPr>
        <w:t>5</w:t>
      </w:r>
      <w:r w:rsidRPr="000C2C56">
        <w:rPr>
          <w:sz w:val="24"/>
          <w:szCs w:val="24"/>
        </w:rPr>
        <w:t xml:space="preserve"> m.</w:t>
      </w:r>
      <w:r w:rsidR="000C2C56" w:rsidRPr="000C2C56">
        <w:rPr>
          <w:sz w:val="24"/>
          <w:szCs w:val="24"/>
        </w:rPr>
        <w:t xml:space="preserve"> liepos</w:t>
      </w:r>
      <w:r w:rsidRPr="000C2C56">
        <w:rPr>
          <w:sz w:val="24"/>
          <w:szCs w:val="24"/>
        </w:rPr>
        <w:t xml:space="preserve"> mėnesį </w:t>
      </w:r>
      <w:r w:rsidRPr="000C2C56">
        <w:rPr>
          <w:rFonts w:eastAsia="Times New Roman"/>
          <w:color w:val="333333"/>
          <w:sz w:val="24"/>
          <w:szCs w:val="24"/>
          <w:lang w:eastAsia="lt-LT"/>
        </w:rPr>
        <w:t xml:space="preserve">Rietavo savivaldybėje lankėsi Lietuvos Respublikos </w:t>
      </w:r>
      <w:r w:rsidR="000C2C56" w:rsidRPr="000C2C56">
        <w:rPr>
          <w:rFonts w:eastAsia="Times New Roman"/>
          <w:color w:val="333333"/>
          <w:sz w:val="24"/>
          <w:szCs w:val="24"/>
          <w:lang w:eastAsia="lt-LT"/>
        </w:rPr>
        <w:t>švietimo ir mokslo ministrė Audronė Pitrėnienė. Ministrė susitiko su savivaldybės meru Antanu Černeckiu, jo pavaduotoju Jonu Eugenijumi Bačinsku, švietimo įstaigų vadovais. Informavo apie abitūros egzaminų rezultatus, pristatė klasės krepšelio, neformalaus  vaikų ugdymo programos finansavimą. Apt</w:t>
      </w:r>
      <w:r w:rsidR="00FB48AE" w:rsidRPr="000C2C56">
        <w:rPr>
          <w:rFonts w:eastAsia="Times New Roman"/>
          <w:color w:val="333333"/>
          <w:sz w:val="24"/>
          <w:szCs w:val="24"/>
          <w:lang w:eastAsia="lt-LT"/>
        </w:rPr>
        <w:t>a</w:t>
      </w:r>
      <w:r w:rsidR="000C2C56" w:rsidRPr="000C2C56">
        <w:rPr>
          <w:rFonts w:eastAsia="Times New Roman"/>
          <w:color w:val="333333"/>
          <w:sz w:val="24"/>
          <w:szCs w:val="24"/>
          <w:lang w:eastAsia="lt-LT"/>
        </w:rPr>
        <w:t xml:space="preserve">rė pagrindines švietimo problemas – priešmokyklinį ugdymą, mokyklų tinklo pertvarką. </w:t>
      </w:r>
    </w:p>
    <w:p w:rsidR="00E97ECA" w:rsidRPr="00630125" w:rsidRDefault="005F247E" w:rsidP="006D327D">
      <w:pPr>
        <w:shd w:val="clear" w:color="auto" w:fill="FFFFFF"/>
        <w:jc w:val="left"/>
        <w:rPr>
          <w:i/>
          <w:sz w:val="20"/>
        </w:rPr>
      </w:pPr>
      <w:r w:rsidRPr="005F247E">
        <w:rPr>
          <w:color w:val="333333"/>
          <w:szCs w:val="24"/>
          <w:lang w:eastAsia="lt-LT"/>
        </w:rPr>
        <w:t xml:space="preserve">2015 m. rugsėjo mėnesį </w:t>
      </w:r>
      <w:r w:rsidR="000C4C04">
        <w:rPr>
          <w:color w:val="333333"/>
          <w:szCs w:val="24"/>
          <w:lang w:eastAsia="lt-LT"/>
        </w:rPr>
        <w:t>(</w:t>
      </w:r>
      <w:r w:rsidRPr="005F247E">
        <w:rPr>
          <w:color w:val="333333"/>
          <w:szCs w:val="24"/>
          <w:lang w:eastAsia="lt-LT"/>
        </w:rPr>
        <w:t>Mykolinių šventės metu</w:t>
      </w:r>
      <w:r w:rsidR="000C4C04">
        <w:rPr>
          <w:color w:val="333333"/>
          <w:szCs w:val="24"/>
          <w:lang w:eastAsia="lt-LT"/>
        </w:rPr>
        <w:t>)</w:t>
      </w:r>
      <w:r w:rsidRPr="005F247E">
        <w:rPr>
          <w:color w:val="333333"/>
          <w:szCs w:val="24"/>
          <w:lang w:eastAsia="lt-LT"/>
        </w:rPr>
        <w:t xml:space="preserve"> Savivaldybėje lankėsi</w:t>
      </w:r>
      <w:r>
        <w:rPr>
          <w:color w:val="333333"/>
          <w:szCs w:val="24"/>
          <w:lang w:eastAsia="lt-LT"/>
        </w:rPr>
        <w:t xml:space="preserve"> </w:t>
      </w:r>
      <w:r w:rsidR="00454201">
        <w:rPr>
          <w:color w:val="333333"/>
          <w:szCs w:val="24"/>
          <w:lang w:eastAsia="lt-LT"/>
        </w:rPr>
        <w:t xml:space="preserve">Baltarusijos Respublikos nepaprastasis ir įgaliotasis ambasadorius Lietuvoje Aleksandr Korol, Lietuvos Respublikos ambasadorius Baltarusijos Respublikoje Evaldas Ignatavičius, Lietuvos </w:t>
      </w:r>
      <w:r w:rsidR="000C4C04">
        <w:rPr>
          <w:color w:val="333333"/>
          <w:szCs w:val="24"/>
          <w:lang w:eastAsia="lt-LT"/>
        </w:rPr>
        <w:t>R</w:t>
      </w:r>
      <w:r w:rsidR="00454201">
        <w:rPr>
          <w:color w:val="333333"/>
          <w:szCs w:val="24"/>
          <w:lang w:eastAsia="lt-LT"/>
        </w:rPr>
        <w:t>espublikos Prezident</w:t>
      </w:r>
      <w:r w:rsidR="000C4C04">
        <w:rPr>
          <w:color w:val="333333"/>
          <w:szCs w:val="24"/>
          <w:lang w:eastAsia="lt-LT"/>
        </w:rPr>
        <w:t>o</w:t>
      </w:r>
      <w:r w:rsidR="00454201">
        <w:rPr>
          <w:color w:val="333333"/>
          <w:szCs w:val="24"/>
          <w:lang w:eastAsia="lt-LT"/>
        </w:rPr>
        <w:t xml:space="preserve"> patarėjas Mindaugas Lingė, Lietuvos Respublikos kultūros ministerijos viceministrė Patricija Poderytė, Kultūros paveldo departamento direktorė Diana Varnaitė ir kt. garbūs žmonės. </w:t>
      </w:r>
      <w:r>
        <w:rPr>
          <w:i/>
          <w:color w:val="333333"/>
          <w:szCs w:val="24"/>
          <w:lang w:eastAsia="lt-LT"/>
        </w:rPr>
        <w:t xml:space="preserve"> </w:t>
      </w:r>
    </w:p>
    <w:p w:rsidR="00E97ECA" w:rsidRPr="00630125" w:rsidRDefault="00E97ECA" w:rsidP="00E97ECA">
      <w:pPr>
        <w:ind w:firstLine="0"/>
        <w:jc w:val="center"/>
        <w:rPr>
          <w:i/>
          <w:sz w:val="20"/>
        </w:rPr>
      </w:pPr>
    </w:p>
    <w:p w:rsidR="00E97ECA" w:rsidRPr="00454201" w:rsidRDefault="00E97ECA" w:rsidP="00E97ECA">
      <w:pPr>
        <w:ind w:firstLine="0"/>
        <w:jc w:val="center"/>
        <w:rPr>
          <w:rStyle w:val="Grietas"/>
          <w:szCs w:val="24"/>
        </w:rPr>
      </w:pPr>
      <w:r w:rsidRPr="00454201">
        <w:rPr>
          <w:sz w:val="20"/>
        </w:rPr>
        <w:t xml:space="preserve">  </w:t>
      </w:r>
      <w:r w:rsidRPr="00454201">
        <w:rPr>
          <w:rStyle w:val="Grietas"/>
          <w:szCs w:val="24"/>
        </w:rPr>
        <w:t>BENDRADARBIAVIMAS SU UŽSIENIU</w:t>
      </w:r>
    </w:p>
    <w:p w:rsidR="00E97ECA" w:rsidRPr="00630125" w:rsidRDefault="00E97ECA" w:rsidP="00E97ECA">
      <w:pPr>
        <w:ind w:firstLine="0"/>
        <w:jc w:val="center"/>
        <w:rPr>
          <w:rStyle w:val="Grietas"/>
          <w:i/>
          <w:szCs w:val="24"/>
        </w:rPr>
      </w:pPr>
      <w:r w:rsidRPr="00630125">
        <w:rPr>
          <w:rStyle w:val="Grietas"/>
          <w:i/>
          <w:szCs w:val="24"/>
        </w:rPr>
        <w:t xml:space="preserve">                 </w:t>
      </w:r>
    </w:p>
    <w:p w:rsidR="00454201" w:rsidRDefault="00E97ECA" w:rsidP="006D327D">
      <w:pPr>
        <w:pStyle w:val="HTMLiankstoformatuotas"/>
        <w:jc w:val="both"/>
        <w:rPr>
          <w:rFonts w:ascii="Times New Roman" w:hAnsi="Times New Roman" w:cs="Times New Roman"/>
          <w:sz w:val="24"/>
          <w:szCs w:val="24"/>
        </w:rPr>
      </w:pPr>
      <w:r w:rsidRPr="00630125">
        <w:rPr>
          <w:rFonts w:ascii="Times New Roman" w:hAnsi="Times New Roman" w:cs="Times New Roman"/>
          <w:i/>
          <w:sz w:val="24"/>
          <w:szCs w:val="24"/>
        </w:rPr>
        <w:t xml:space="preserve">               </w:t>
      </w:r>
      <w:r w:rsidRPr="00454201">
        <w:rPr>
          <w:rFonts w:ascii="Times New Roman" w:hAnsi="Times New Roman" w:cs="Times New Roman"/>
          <w:sz w:val="24"/>
          <w:szCs w:val="24"/>
        </w:rPr>
        <w:t>201</w:t>
      </w:r>
      <w:r w:rsidR="00454201" w:rsidRPr="00454201">
        <w:rPr>
          <w:rFonts w:ascii="Times New Roman" w:hAnsi="Times New Roman" w:cs="Times New Roman"/>
          <w:sz w:val="24"/>
          <w:szCs w:val="24"/>
        </w:rPr>
        <w:t>5</w:t>
      </w:r>
      <w:r w:rsidRPr="00454201">
        <w:rPr>
          <w:rFonts w:ascii="Times New Roman" w:hAnsi="Times New Roman" w:cs="Times New Roman"/>
          <w:sz w:val="24"/>
          <w:szCs w:val="24"/>
        </w:rPr>
        <w:t xml:space="preserve"> m. </w:t>
      </w:r>
      <w:r w:rsidR="00454201" w:rsidRPr="00454201">
        <w:rPr>
          <w:rFonts w:ascii="Times New Roman" w:hAnsi="Times New Roman" w:cs="Times New Roman"/>
          <w:sz w:val="24"/>
          <w:szCs w:val="24"/>
        </w:rPr>
        <w:t>rugsėjo 26-27 dienomis</w:t>
      </w:r>
      <w:r w:rsidR="00454201">
        <w:rPr>
          <w:rFonts w:ascii="Times New Roman" w:hAnsi="Times New Roman" w:cs="Times New Roman"/>
          <w:i/>
          <w:sz w:val="24"/>
          <w:szCs w:val="24"/>
        </w:rPr>
        <w:t xml:space="preserve"> </w:t>
      </w:r>
      <w:r w:rsidR="00454201">
        <w:rPr>
          <w:rFonts w:ascii="Times New Roman" w:hAnsi="Times New Roman" w:cs="Times New Roman"/>
          <w:sz w:val="24"/>
          <w:szCs w:val="24"/>
        </w:rPr>
        <w:t xml:space="preserve">Savivaldybėje lankėsi </w:t>
      </w:r>
      <w:r w:rsidRPr="00630125">
        <w:rPr>
          <w:rFonts w:ascii="Times New Roman" w:hAnsi="Times New Roman" w:cs="Times New Roman"/>
          <w:i/>
          <w:sz w:val="24"/>
          <w:szCs w:val="24"/>
        </w:rPr>
        <w:t xml:space="preserve"> </w:t>
      </w:r>
      <w:r w:rsidR="00454201" w:rsidRPr="00454201">
        <w:rPr>
          <w:rFonts w:ascii="Times New Roman" w:hAnsi="Times New Roman" w:cs="Times New Roman"/>
          <w:sz w:val="24"/>
          <w:szCs w:val="24"/>
        </w:rPr>
        <w:t>bičiuliai iš Zarbek</w:t>
      </w:r>
      <w:r w:rsidR="00454201">
        <w:rPr>
          <w:rFonts w:ascii="Times New Roman" w:hAnsi="Times New Roman" w:cs="Times New Roman"/>
          <w:sz w:val="24"/>
          <w:szCs w:val="24"/>
        </w:rPr>
        <w:t xml:space="preserve">o  (Vokietija), </w:t>
      </w:r>
      <w:r w:rsidR="00454201" w:rsidRPr="00454201">
        <w:rPr>
          <w:rFonts w:ascii="Times New Roman" w:hAnsi="Times New Roman" w:cs="Times New Roman"/>
          <w:sz w:val="24"/>
          <w:szCs w:val="24"/>
        </w:rPr>
        <w:t>Gulbenės (Latvija)</w:t>
      </w:r>
      <w:r w:rsidR="00454201">
        <w:rPr>
          <w:rFonts w:ascii="Times New Roman" w:hAnsi="Times New Roman" w:cs="Times New Roman"/>
          <w:sz w:val="24"/>
          <w:szCs w:val="24"/>
        </w:rPr>
        <w:t xml:space="preserve"> ir Kenčino (Lenkija). Svečiai </w:t>
      </w:r>
      <w:r w:rsidR="00487D28">
        <w:rPr>
          <w:rFonts w:ascii="Times New Roman" w:hAnsi="Times New Roman" w:cs="Times New Roman"/>
          <w:sz w:val="24"/>
          <w:szCs w:val="24"/>
        </w:rPr>
        <w:t xml:space="preserve">ne tik dalyvavo miesto šventėje, bet </w:t>
      </w:r>
      <w:r w:rsidR="000C4C04">
        <w:rPr>
          <w:rFonts w:ascii="Times New Roman" w:hAnsi="Times New Roman" w:cs="Times New Roman"/>
          <w:sz w:val="24"/>
          <w:szCs w:val="24"/>
        </w:rPr>
        <w:t xml:space="preserve">ir </w:t>
      </w:r>
      <w:r w:rsidR="00487D28">
        <w:rPr>
          <w:rFonts w:ascii="Times New Roman" w:hAnsi="Times New Roman" w:cs="Times New Roman"/>
          <w:sz w:val="24"/>
          <w:szCs w:val="24"/>
        </w:rPr>
        <w:t xml:space="preserve">aptarė tolimesnį bendradarbiavimą. </w:t>
      </w:r>
      <w:r w:rsidR="000C4C04">
        <w:rPr>
          <w:rFonts w:ascii="Times New Roman" w:hAnsi="Times New Roman" w:cs="Times New Roman"/>
          <w:sz w:val="24"/>
          <w:szCs w:val="24"/>
        </w:rPr>
        <w:t>D</w:t>
      </w:r>
      <w:r w:rsidR="00487D28">
        <w:rPr>
          <w:rFonts w:ascii="Times New Roman" w:hAnsi="Times New Roman" w:cs="Times New Roman"/>
          <w:sz w:val="24"/>
          <w:szCs w:val="24"/>
        </w:rPr>
        <w:t xml:space="preserve">raugai </w:t>
      </w:r>
      <w:r w:rsidR="00454201">
        <w:rPr>
          <w:rFonts w:ascii="Times New Roman" w:hAnsi="Times New Roman" w:cs="Times New Roman"/>
          <w:sz w:val="24"/>
          <w:szCs w:val="24"/>
        </w:rPr>
        <w:t xml:space="preserve">iš Zarbeko šį kartą parėmė dvi šeimas, įteikė vokus, kuriuose buvo po 150 eurų kiekvienai šeimai. </w:t>
      </w:r>
    </w:p>
    <w:p w:rsidR="00E97ECA" w:rsidRDefault="00454201" w:rsidP="006D327D">
      <w:pPr>
        <w:pStyle w:val="HTMLiankstoformatuotas"/>
        <w:jc w:val="both"/>
        <w:rPr>
          <w:rFonts w:ascii="Times New Roman" w:hAnsi="Times New Roman" w:cs="Times New Roman"/>
          <w:sz w:val="24"/>
          <w:szCs w:val="24"/>
        </w:rPr>
      </w:pPr>
      <w:r>
        <w:rPr>
          <w:rFonts w:ascii="Times New Roman" w:hAnsi="Times New Roman" w:cs="Times New Roman"/>
          <w:sz w:val="24"/>
          <w:szCs w:val="24"/>
        </w:rPr>
        <w:t xml:space="preserve">                 </w:t>
      </w:r>
      <w:r w:rsidR="00487D28">
        <w:rPr>
          <w:rFonts w:ascii="Times New Roman" w:hAnsi="Times New Roman" w:cs="Times New Roman"/>
          <w:sz w:val="24"/>
          <w:szCs w:val="24"/>
        </w:rPr>
        <w:t xml:space="preserve">2015 m. balandžio mėnesį, minint Tarptautinę savaitę, Savivaldybėje lankėsi Prancūzijos, Rumunijos, Turkijos ir Indijos atstovai, kurie susitiko su </w:t>
      </w:r>
      <w:r w:rsidR="00D70F3C">
        <w:rPr>
          <w:rFonts w:ascii="Times New Roman" w:hAnsi="Times New Roman" w:cs="Times New Roman"/>
          <w:sz w:val="24"/>
          <w:szCs w:val="24"/>
        </w:rPr>
        <w:t>S</w:t>
      </w:r>
      <w:r w:rsidR="00487D28">
        <w:rPr>
          <w:rFonts w:ascii="Times New Roman" w:hAnsi="Times New Roman" w:cs="Times New Roman"/>
          <w:sz w:val="24"/>
          <w:szCs w:val="24"/>
        </w:rPr>
        <w:t xml:space="preserve">avivaldybės meru Antanu Černeckiu. Susitikimo metu meras svečiams papasakojo apie Savivaldybę, įgyvendintus ir vykdomus projektus, ateities planus. </w:t>
      </w:r>
    </w:p>
    <w:p w:rsidR="00D70F3C" w:rsidRPr="00630125" w:rsidRDefault="00D70F3C" w:rsidP="006D327D">
      <w:pPr>
        <w:pStyle w:val="HTMLiankstoformatuotas"/>
        <w:jc w:val="both"/>
        <w:rPr>
          <w:rFonts w:ascii="Times New Roman" w:hAnsi="Times New Roman" w:cs="Times New Roman"/>
          <w:i/>
          <w:sz w:val="24"/>
          <w:szCs w:val="24"/>
        </w:rPr>
      </w:pPr>
      <w:r>
        <w:rPr>
          <w:rFonts w:ascii="Times New Roman" w:hAnsi="Times New Roman" w:cs="Times New Roman"/>
          <w:sz w:val="24"/>
          <w:szCs w:val="24"/>
        </w:rPr>
        <w:t xml:space="preserve">                 2015 m. balandžio 17 d. Rietave lankėsi </w:t>
      </w:r>
      <w:r w:rsidR="0009298D">
        <w:rPr>
          <w:rFonts w:ascii="Times New Roman" w:hAnsi="Times New Roman" w:cs="Times New Roman"/>
          <w:sz w:val="24"/>
          <w:szCs w:val="24"/>
        </w:rPr>
        <w:t>ikimokyklinio ir priešmokyklinio ugdymo pedagogai iš Gulbenės savivaldybės. Jie lankėsi Rietavo Lauryno Ivinskio gimnazijoje ir Rietavo lopšelyje-darželyje, dalijosi gerąja patirtimi.</w:t>
      </w:r>
    </w:p>
    <w:p w:rsidR="00E97ECA" w:rsidRPr="00630125" w:rsidRDefault="00E97ECA" w:rsidP="00E97ECA">
      <w:pPr>
        <w:shd w:val="clear" w:color="auto" w:fill="FFFFFF"/>
        <w:jc w:val="left"/>
        <w:rPr>
          <w:rStyle w:val="Grietas"/>
          <w:b w:val="0"/>
          <w:bCs w:val="0"/>
          <w:i/>
          <w:color w:val="000000"/>
          <w:sz w:val="20"/>
        </w:rPr>
      </w:pPr>
      <w:r w:rsidRPr="00630125">
        <w:rPr>
          <w:i/>
          <w:sz w:val="20"/>
        </w:rPr>
        <w:t xml:space="preserve">                                                                           </w:t>
      </w:r>
    </w:p>
    <w:p w:rsidR="00E97ECA" w:rsidRPr="00D70F3C" w:rsidRDefault="00E97ECA" w:rsidP="00E97ECA">
      <w:pPr>
        <w:ind w:firstLine="680"/>
        <w:rPr>
          <w:b/>
          <w:szCs w:val="24"/>
        </w:rPr>
      </w:pPr>
      <w:r w:rsidRPr="00D70F3C">
        <w:rPr>
          <w:b/>
          <w:szCs w:val="24"/>
        </w:rPr>
        <w:t xml:space="preserve">             SAVIVALDYBĖS BENDRAVIMAS SU BENDRUOMENĖMIS</w:t>
      </w:r>
    </w:p>
    <w:p w:rsidR="00E97ECA" w:rsidRPr="00630125" w:rsidRDefault="00E97ECA" w:rsidP="00E97ECA">
      <w:pPr>
        <w:ind w:firstLine="680"/>
        <w:rPr>
          <w:b/>
          <w:i/>
          <w:color w:val="3366FF"/>
          <w:sz w:val="20"/>
        </w:rPr>
      </w:pPr>
    </w:p>
    <w:p w:rsidR="00E97ECA" w:rsidRDefault="00E97ECA" w:rsidP="006D327D">
      <w:pPr>
        <w:jc w:val="left"/>
      </w:pPr>
      <w:r w:rsidRPr="00D70F3C">
        <w:t xml:space="preserve">Rietavo savivaldybėje aktyviai </w:t>
      </w:r>
      <w:r w:rsidR="00D70F3C" w:rsidRPr="00D70F3C">
        <w:t>veikia</w:t>
      </w:r>
      <w:r w:rsidRPr="00D70F3C">
        <w:t xml:space="preserve"> dvylika bendruomenių</w:t>
      </w:r>
      <w:r w:rsidRPr="00630125">
        <w:rPr>
          <w:i/>
        </w:rPr>
        <w:t xml:space="preserve">. </w:t>
      </w:r>
      <w:r w:rsidRPr="00413605">
        <w:rPr>
          <w:lang w:bidi="en-US"/>
        </w:rPr>
        <w:t xml:space="preserve">Bendruomenės organizuoja renginius, šventes, rūpinasi bendruomenių namais, tvarko aplinką, dalyvauja įgyvendinant įvairius projektus, organizuoja išvykas po Lietuvą. </w:t>
      </w:r>
      <w:r w:rsidRPr="00413605">
        <w:t>Jos rengia įvairius projektus, gauna finansavimą iš Europos Sąjungos fondų, o organizacinės veiklos programoms lėšų iš Nevyriausybinių organizacijų rėmimo fondo skiria ir Savivaldybė (201</w:t>
      </w:r>
      <w:r w:rsidR="00413605">
        <w:t>5</w:t>
      </w:r>
      <w:r w:rsidRPr="00413605">
        <w:t xml:space="preserve"> m. skirta </w:t>
      </w:r>
      <w:r w:rsidR="00413605">
        <w:t>8511,96 Eur</w:t>
      </w:r>
      <w:r w:rsidRPr="00413605">
        <w:t>).</w:t>
      </w:r>
      <w:r w:rsidRPr="00630125">
        <w:rPr>
          <w:i/>
        </w:rPr>
        <w:t xml:space="preserve"> </w:t>
      </w:r>
      <w:r w:rsidRPr="00413605">
        <w:t xml:space="preserve">Bendruomenių atstovai stengiasi puoselėti krašto tradicijas, organizuoja šventes, dalyvauja seminaruose, sukaupta patirtimi dalijasi su kitomis bendruomenėmis. </w:t>
      </w:r>
    </w:p>
    <w:p w:rsidR="00B06BE8" w:rsidRDefault="00B06BE8" w:rsidP="006D327D">
      <w:pPr>
        <w:jc w:val="left"/>
        <w:rPr>
          <w:bCs/>
        </w:rPr>
      </w:pPr>
      <w:r>
        <w:t xml:space="preserve">Liolių bendruomenė </w:t>
      </w:r>
      <w:r>
        <w:rPr>
          <w:bCs/>
        </w:rPr>
        <w:t>k</w:t>
      </w:r>
      <w:r w:rsidRPr="00B06BE8">
        <w:rPr>
          <w:bCs/>
        </w:rPr>
        <w:t>artu su partneriu</w:t>
      </w:r>
      <w:r w:rsidRPr="00B06BE8">
        <w:rPr>
          <w:b/>
          <w:bCs/>
        </w:rPr>
        <w:t xml:space="preserve"> – </w:t>
      </w:r>
      <w:r w:rsidRPr="00B06BE8">
        <w:rPr>
          <w:bCs/>
        </w:rPr>
        <w:t>Rietavo Oginskių kultūros istorijos muziejumi – per metus įgyvendino projektą „Liolių poilsio parkas“. Projektas buvo finansuojamas iš Europos žemės ūkio fondo kaimo plėtrai ir Lietuvos valstybės biudžeto pagal Vietos veiklos grupės „Rietavo iniciatyvos“ įgyvendinamą strategiją „Rietavo savivaldybės kaimo vietovių plėtros strategijos“.</w:t>
      </w:r>
    </w:p>
    <w:p w:rsidR="00E97ECA" w:rsidRPr="00630125" w:rsidRDefault="00E97ECA" w:rsidP="00E97ECA">
      <w:pPr>
        <w:pStyle w:val="Betarp"/>
        <w:rPr>
          <w:i/>
          <w:sz w:val="24"/>
          <w:szCs w:val="24"/>
        </w:rPr>
      </w:pPr>
      <w:r w:rsidRPr="00630125">
        <w:rPr>
          <w:i/>
          <w:sz w:val="24"/>
          <w:szCs w:val="24"/>
        </w:rPr>
        <w:t xml:space="preserve">    </w:t>
      </w:r>
    </w:p>
    <w:p w:rsidR="00E97ECA" w:rsidRPr="00630125" w:rsidRDefault="00E97ECA" w:rsidP="00E97ECA">
      <w:pPr>
        <w:ind w:firstLine="680"/>
        <w:rPr>
          <w:i/>
          <w:color w:val="000000"/>
          <w:szCs w:val="24"/>
        </w:rPr>
      </w:pPr>
    </w:p>
    <w:p w:rsidR="00E97ECA" w:rsidRPr="00586019" w:rsidRDefault="00E97ECA" w:rsidP="00AA7189">
      <w:pPr>
        <w:ind w:firstLine="851"/>
        <w:jc w:val="center"/>
        <w:rPr>
          <w:rStyle w:val="Grietas"/>
          <w:bCs w:val="0"/>
          <w:color w:val="000000"/>
        </w:rPr>
      </w:pPr>
      <w:r w:rsidRPr="00586019">
        <w:rPr>
          <w:rStyle w:val="Grietas"/>
          <w:bCs w:val="0"/>
          <w:color w:val="000000"/>
        </w:rPr>
        <w:t>KITI 201</w:t>
      </w:r>
      <w:r w:rsidR="00586019" w:rsidRPr="00586019">
        <w:rPr>
          <w:rStyle w:val="Grietas"/>
          <w:bCs w:val="0"/>
          <w:color w:val="000000"/>
        </w:rPr>
        <w:t>5</w:t>
      </w:r>
      <w:r w:rsidRPr="00586019">
        <w:rPr>
          <w:rStyle w:val="Grietas"/>
          <w:bCs w:val="0"/>
          <w:color w:val="000000"/>
        </w:rPr>
        <w:t xml:space="preserve"> M. ĮVYKIAI</w:t>
      </w:r>
    </w:p>
    <w:p w:rsidR="00E97ECA" w:rsidRPr="00630125" w:rsidRDefault="00E97ECA" w:rsidP="00E97ECA">
      <w:pPr>
        <w:ind w:firstLine="851"/>
        <w:rPr>
          <w:rStyle w:val="Grietas"/>
          <w:bCs w:val="0"/>
          <w:i/>
          <w:color w:val="000000"/>
        </w:rPr>
      </w:pPr>
    </w:p>
    <w:p w:rsidR="00E97ECA" w:rsidRPr="00630125" w:rsidRDefault="00586019" w:rsidP="006D327D">
      <w:pPr>
        <w:pStyle w:val="Betarp"/>
        <w:numPr>
          <w:ilvl w:val="0"/>
          <w:numId w:val="4"/>
        </w:numPr>
        <w:tabs>
          <w:tab w:val="clear" w:pos="1211"/>
          <w:tab w:val="num" w:pos="0"/>
          <w:tab w:val="left" w:pos="1134"/>
        </w:tabs>
        <w:ind w:left="0" w:firstLine="851"/>
        <w:rPr>
          <w:i/>
          <w:sz w:val="24"/>
          <w:szCs w:val="24"/>
        </w:rPr>
      </w:pPr>
      <w:r w:rsidRPr="00586019">
        <w:rPr>
          <w:color w:val="333333"/>
          <w:sz w:val="24"/>
          <w:szCs w:val="24"/>
          <w:shd w:val="clear" w:color="auto" w:fill="FFFFFF"/>
        </w:rPr>
        <w:t>Vasario 16-ąją Lietuvos Respublikos Prezidentė Dalia Grybauskaitė už Lietuvos kultūros ir istorijos paveldo, tarpvalstybinių kultūrinių santykių puoselėjimą ordino „Už nuopelnus Lietuvai“ Riterio kryžiumi apdovanojo Rietavo kultūros istorijos muziejaus direktorių Vytą Rutkauską.</w:t>
      </w:r>
    </w:p>
    <w:p w:rsidR="00E97ECA" w:rsidRPr="002572ED" w:rsidRDefault="00E97ECA" w:rsidP="006D327D">
      <w:pPr>
        <w:pStyle w:val="Betarp"/>
        <w:numPr>
          <w:ilvl w:val="0"/>
          <w:numId w:val="4"/>
        </w:numPr>
        <w:tabs>
          <w:tab w:val="clear" w:pos="1211"/>
          <w:tab w:val="num" w:pos="0"/>
          <w:tab w:val="left" w:pos="1134"/>
        </w:tabs>
        <w:ind w:left="0" w:firstLine="851"/>
        <w:rPr>
          <w:sz w:val="24"/>
          <w:szCs w:val="24"/>
        </w:rPr>
      </w:pPr>
      <w:r w:rsidRPr="002572ED">
        <w:rPr>
          <w:sz w:val="24"/>
          <w:szCs w:val="24"/>
        </w:rPr>
        <w:t>201</w:t>
      </w:r>
      <w:r w:rsidR="00586019" w:rsidRPr="002572ED">
        <w:rPr>
          <w:sz w:val="24"/>
          <w:szCs w:val="24"/>
        </w:rPr>
        <w:t>5</w:t>
      </w:r>
      <w:r w:rsidRPr="002572ED">
        <w:rPr>
          <w:sz w:val="24"/>
          <w:szCs w:val="24"/>
        </w:rPr>
        <w:t xml:space="preserve"> m. </w:t>
      </w:r>
      <w:r w:rsidR="00586019" w:rsidRPr="002572ED">
        <w:rPr>
          <w:sz w:val="24"/>
          <w:szCs w:val="24"/>
        </w:rPr>
        <w:t>kovo 14</w:t>
      </w:r>
      <w:r w:rsidRPr="002572ED">
        <w:rPr>
          <w:sz w:val="24"/>
          <w:szCs w:val="24"/>
        </w:rPr>
        <w:t xml:space="preserve"> d. </w:t>
      </w:r>
      <w:r w:rsidR="002572ED" w:rsidRPr="002572ED">
        <w:rPr>
          <w:sz w:val="24"/>
          <w:szCs w:val="24"/>
        </w:rPr>
        <w:t>Pranę Stasevičienę</w:t>
      </w:r>
      <w:r w:rsidRPr="002572ED">
        <w:rPr>
          <w:sz w:val="24"/>
          <w:szCs w:val="24"/>
        </w:rPr>
        <w:t>, sulaukusią 100 metų, pasveikino Rietavo savivaldybės ir Valstybinio socialinio draudimo fondo valdybos</w:t>
      </w:r>
      <w:r w:rsidR="002572ED" w:rsidRPr="002572ED">
        <w:rPr>
          <w:sz w:val="24"/>
          <w:szCs w:val="24"/>
        </w:rPr>
        <w:t>, Rietavo socialinių paslaugų centro</w:t>
      </w:r>
      <w:r w:rsidRPr="002572ED">
        <w:rPr>
          <w:sz w:val="24"/>
          <w:szCs w:val="24"/>
        </w:rPr>
        <w:t xml:space="preserve"> atstovai.</w:t>
      </w:r>
    </w:p>
    <w:p w:rsidR="00D07641" w:rsidRPr="00D07641" w:rsidRDefault="00D07641" w:rsidP="006D327D">
      <w:pPr>
        <w:pStyle w:val="Betarp"/>
        <w:numPr>
          <w:ilvl w:val="0"/>
          <w:numId w:val="4"/>
        </w:numPr>
        <w:tabs>
          <w:tab w:val="clear" w:pos="1211"/>
          <w:tab w:val="num" w:pos="0"/>
          <w:tab w:val="left" w:pos="1134"/>
        </w:tabs>
        <w:ind w:left="0" w:firstLine="851"/>
        <w:rPr>
          <w:i/>
          <w:sz w:val="24"/>
          <w:szCs w:val="24"/>
        </w:rPr>
      </w:pPr>
      <w:r>
        <w:rPr>
          <w:color w:val="333333"/>
          <w:sz w:val="24"/>
          <w:szCs w:val="24"/>
          <w:shd w:val="clear" w:color="auto" w:fill="FFFFFF"/>
        </w:rPr>
        <w:lastRenderedPageBreak/>
        <w:t>Balandžio mėnesį Rietavo savivaldybės kultūros centre organizuota tarptautinės paminklų ir paminklinių vietovių apsaugos dienai skirta konferencija, į kurią atvyko paveldosaugininkai iš visos Lietuvos.</w:t>
      </w:r>
    </w:p>
    <w:p w:rsidR="00D07641" w:rsidRPr="00D07641" w:rsidRDefault="00D07641" w:rsidP="006D327D">
      <w:pPr>
        <w:pStyle w:val="Betarp"/>
        <w:numPr>
          <w:ilvl w:val="0"/>
          <w:numId w:val="4"/>
        </w:numPr>
        <w:tabs>
          <w:tab w:val="clear" w:pos="1211"/>
          <w:tab w:val="num" w:pos="0"/>
          <w:tab w:val="left" w:pos="1134"/>
        </w:tabs>
        <w:ind w:left="0" w:firstLine="851"/>
        <w:rPr>
          <w:rStyle w:val="apple-converted-space"/>
          <w:i/>
          <w:sz w:val="24"/>
          <w:szCs w:val="24"/>
        </w:rPr>
      </w:pPr>
      <w:r w:rsidRPr="00D07641">
        <w:rPr>
          <w:color w:val="333333"/>
          <w:sz w:val="24"/>
          <w:szCs w:val="24"/>
          <w:shd w:val="clear" w:color="auto" w:fill="FFFFFF"/>
        </w:rPr>
        <w:t>Lietuvos Respublikos Prezidentė Dalia Grybauskaitė ordino „Už nuopelnus Lietuvai“ medaliu apdovanojo</w:t>
      </w:r>
      <w:r w:rsidRPr="00D07641">
        <w:rPr>
          <w:rStyle w:val="apple-converted-space"/>
          <w:color w:val="333333"/>
          <w:sz w:val="24"/>
          <w:szCs w:val="24"/>
          <w:shd w:val="clear" w:color="auto" w:fill="FFFFFF"/>
        </w:rPr>
        <w:t xml:space="preserve"> Vatušių kaimo gyventoją Stefą Jovaišienę, išauginusią 7 vaikus. </w:t>
      </w:r>
    </w:p>
    <w:p w:rsidR="00D07641" w:rsidRDefault="00D07641" w:rsidP="006D327D">
      <w:pPr>
        <w:pStyle w:val="Betarp"/>
        <w:numPr>
          <w:ilvl w:val="0"/>
          <w:numId w:val="4"/>
        </w:numPr>
        <w:tabs>
          <w:tab w:val="clear" w:pos="1211"/>
          <w:tab w:val="num" w:pos="0"/>
          <w:tab w:val="left" w:pos="1134"/>
        </w:tabs>
        <w:ind w:left="0" w:firstLine="851"/>
        <w:rPr>
          <w:i/>
          <w:sz w:val="24"/>
          <w:szCs w:val="24"/>
        </w:rPr>
      </w:pPr>
      <w:r>
        <w:rPr>
          <w:sz w:val="24"/>
          <w:szCs w:val="24"/>
        </w:rPr>
        <w:t xml:space="preserve">2015 m. birželio mėnesį Rietavo savivaldybės kultūros centre vyko XX Pažaislio muzikos festivalio koncertas, kuriame koncertavo </w:t>
      </w:r>
      <w:r w:rsidRPr="00D07641">
        <w:rPr>
          <w:color w:val="333333"/>
          <w:sz w:val="24"/>
          <w:szCs w:val="24"/>
          <w:shd w:val="clear" w:color="auto" w:fill="FFFFFF"/>
        </w:rPr>
        <w:t>Martyn</w:t>
      </w:r>
      <w:r>
        <w:rPr>
          <w:color w:val="333333"/>
          <w:sz w:val="24"/>
          <w:szCs w:val="24"/>
          <w:shd w:val="clear" w:color="auto" w:fill="FFFFFF"/>
        </w:rPr>
        <w:t>as Levickis</w:t>
      </w:r>
      <w:r w:rsidRPr="00D07641">
        <w:rPr>
          <w:color w:val="333333"/>
          <w:sz w:val="24"/>
          <w:szCs w:val="24"/>
          <w:shd w:val="clear" w:color="auto" w:fill="FFFFFF"/>
        </w:rPr>
        <w:t xml:space="preserve"> (akordeonas) ir styginių kvartet</w:t>
      </w:r>
      <w:r>
        <w:rPr>
          <w:color w:val="333333"/>
          <w:sz w:val="24"/>
          <w:szCs w:val="24"/>
          <w:shd w:val="clear" w:color="auto" w:fill="FFFFFF"/>
        </w:rPr>
        <w:t>as</w:t>
      </w:r>
      <w:r w:rsidRPr="00D07641">
        <w:rPr>
          <w:color w:val="333333"/>
          <w:sz w:val="24"/>
          <w:szCs w:val="24"/>
          <w:shd w:val="clear" w:color="auto" w:fill="FFFFFF"/>
        </w:rPr>
        <w:t xml:space="preserve"> </w:t>
      </w:r>
      <w:r w:rsidR="000C4C04">
        <w:rPr>
          <w:color w:val="333333"/>
          <w:sz w:val="24"/>
          <w:szCs w:val="24"/>
          <w:shd w:val="clear" w:color="auto" w:fill="FFFFFF"/>
        </w:rPr>
        <w:t>„</w:t>
      </w:r>
      <w:r w:rsidRPr="00D07641">
        <w:rPr>
          <w:color w:val="333333"/>
          <w:sz w:val="24"/>
          <w:szCs w:val="24"/>
          <w:shd w:val="clear" w:color="auto" w:fill="FFFFFF"/>
        </w:rPr>
        <w:t>SinChronic</w:t>
      </w:r>
      <w:r w:rsidR="000C4C04">
        <w:rPr>
          <w:color w:val="333333"/>
          <w:sz w:val="24"/>
          <w:szCs w:val="24"/>
          <w:shd w:val="clear" w:color="auto" w:fill="FFFFFF"/>
        </w:rPr>
        <w:t>“</w:t>
      </w:r>
      <w:r w:rsidRPr="00D07641">
        <w:rPr>
          <w:color w:val="333333"/>
          <w:sz w:val="24"/>
          <w:szCs w:val="24"/>
          <w:shd w:val="clear" w:color="auto" w:fill="FFFFFF"/>
        </w:rPr>
        <w:t xml:space="preserve"> (I smuikas –  Giedrė Žarėnaitė, II smuikas –  Simas Tankevičius, altas –  Mintautas Kiščiūnas, violončelė –  Ignė Pikalavičiūtė).</w:t>
      </w:r>
      <w:r w:rsidRPr="00D07641">
        <w:rPr>
          <w:i/>
          <w:sz w:val="24"/>
          <w:szCs w:val="24"/>
        </w:rPr>
        <w:t> </w:t>
      </w:r>
    </w:p>
    <w:p w:rsidR="00C62EF6" w:rsidRPr="00C62EF6" w:rsidRDefault="00D07641" w:rsidP="006D327D">
      <w:pPr>
        <w:pStyle w:val="Betarp"/>
        <w:numPr>
          <w:ilvl w:val="0"/>
          <w:numId w:val="4"/>
        </w:numPr>
        <w:tabs>
          <w:tab w:val="clear" w:pos="1211"/>
          <w:tab w:val="num" w:pos="0"/>
          <w:tab w:val="left" w:pos="1134"/>
        </w:tabs>
        <w:ind w:left="0" w:firstLine="851"/>
        <w:rPr>
          <w:i/>
          <w:sz w:val="24"/>
          <w:szCs w:val="24"/>
        </w:rPr>
      </w:pPr>
      <w:r w:rsidRPr="00C62EF6">
        <w:rPr>
          <w:color w:val="333333"/>
          <w:sz w:val="24"/>
          <w:szCs w:val="24"/>
          <w:shd w:val="clear" w:color="auto" w:fill="FFFFFF"/>
        </w:rPr>
        <w:t>Spalio 23-ąją Vilniuje</w:t>
      </w:r>
      <w:r w:rsidRPr="00C62EF6">
        <w:rPr>
          <w:rStyle w:val="apple-converted-space"/>
          <w:color w:val="333333"/>
          <w:sz w:val="24"/>
          <w:szCs w:val="24"/>
          <w:shd w:val="clear" w:color="auto" w:fill="FFFFFF"/>
        </w:rPr>
        <w:t> Lietuvos savivaldybių asociacijos organizuotuose „Auksinės krivūlės“ apdovanojimuose Rietavo savivaldyb</w:t>
      </w:r>
      <w:r w:rsidR="00C62EF6" w:rsidRPr="00C62EF6">
        <w:rPr>
          <w:rStyle w:val="apple-converted-space"/>
          <w:color w:val="333333"/>
          <w:sz w:val="24"/>
          <w:szCs w:val="24"/>
          <w:shd w:val="clear" w:color="auto" w:fill="FFFFFF"/>
        </w:rPr>
        <w:t>ei</w:t>
      </w:r>
      <w:r w:rsidRPr="00C62EF6">
        <w:rPr>
          <w:rStyle w:val="apple-converted-space"/>
          <w:color w:val="333333"/>
          <w:sz w:val="24"/>
          <w:szCs w:val="24"/>
          <w:shd w:val="clear" w:color="auto" w:fill="FFFFFF"/>
        </w:rPr>
        <w:t xml:space="preserve"> </w:t>
      </w:r>
      <w:r w:rsidR="00C62EF6" w:rsidRPr="00C62EF6">
        <w:rPr>
          <w:color w:val="333333"/>
          <w:sz w:val="24"/>
          <w:szCs w:val="24"/>
          <w:shd w:val="clear" w:color="auto" w:fill="FFFFFF"/>
        </w:rPr>
        <w:t xml:space="preserve">atiteko Užsienio reikalų ministerijos įsteigta krivūlė „Už viešosios diplomatijos puoselėjimą“, o Savivaldybės merui Antanui Černeckiui  už nuopelnus Lietuvos savivaldai, jos plėtrai ir stiprinimui suteiktas „Auksinės krivūlės riterio“  vardas. </w:t>
      </w:r>
    </w:p>
    <w:p w:rsidR="00C62EF6" w:rsidRPr="001700A9" w:rsidRDefault="00C62EF6" w:rsidP="006D327D">
      <w:pPr>
        <w:pStyle w:val="Betarp"/>
        <w:numPr>
          <w:ilvl w:val="0"/>
          <w:numId w:val="4"/>
        </w:numPr>
        <w:tabs>
          <w:tab w:val="clear" w:pos="1211"/>
          <w:tab w:val="num" w:pos="0"/>
          <w:tab w:val="left" w:pos="1134"/>
        </w:tabs>
        <w:ind w:left="0" w:firstLine="851"/>
        <w:rPr>
          <w:i/>
          <w:sz w:val="24"/>
          <w:szCs w:val="24"/>
        </w:rPr>
      </w:pPr>
      <w:r>
        <w:rPr>
          <w:sz w:val="24"/>
          <w:szCs w:val="24"/>
        </w:rPr>
        <w:t xml:space="preserve">Atnaujinti </w:t>
      </w:r>
      <w:r w:rsidRPr="00C62EF6">
        <w:rPr>
          <w:color w:val="333333"/>
          <w:sz w:val="24"/>
          <w:szCs w:val="24"/>
          <w:shd w:val="clear" w:color="auto" w:fill="FFFFFF"/>
        </w:rPr>
        <w:t>Rietavo parapijos senelių globos namai.</w:t>
      </w:r>
    </w:p>
    <w:p w:rsidR="001700A9" w:rsidRPr="001700A9" w:rsidRDefault="001700A9" w:rsidP="006D327D">
      <w:pPr>
        <w:pStyle w:val="Betarp"/>
        <w:numPr>
          <w:ilvl w:val="0"/>
          <w:numId w:val="4"/>
        </w:numPr>
        <w:tabs>
          <w:tab w:val="clear" w:pos="1211"/>
          <w:tab w:val="num" w:pos="0"/>
          <w:tab w:val="left" w:pos="1134"/>
          <w:tab w:val="left" w:pos="1276"/>
        </w:tabs>
        <w:ind w:left="0" w:firstLine="851"/>
        <w:rPr>
          <w:i/>
          <w:sz w:val="24"/>
          <w:szCs w:val="24"/>
        </w:rPr>
      </w:pPr>
      <w:r w:rsidRPr="001700A9">
        <w:rPr>
          <w:color w:val="333333"/>
          <w:sz w:val="24"/>
          <w:szCs w:val="24"/>
          <w:shd w:val="clear" w:color="auto" w:fill="FFFFFF"/>
        </w:rPr>
        <w:t>Lapkričio  6-ąją Kaune, kultūros ir sporto centre „Girstutis“,  pagerbti respublikinio konkurso „Metų ūkis 2015“ nugalėtojai. Pirmos vietos laimėtojų prizas ir padėkos raštas skirtas Stanislovui Antanui, Ramūnui ir Stasiui Jurkams. Prizai atiteko ir antros vietos laimėtojai Valerijai Stancelienei, ir  trečią vietą pelniusiems Laimai ir Rimantui Bagdonams.</w:t>
      </w:r>
    </w:p>
    <w:p w:rsidR="00E97ECA" w:rsidRPr="00C62EF6" w:rsidRDefault="00C62EF6" w:rsidP="006D327D">
      <w:pPr>
        <w:pStyle w:val="Betarp"/>
        <w:numPr>
          <w:ilvl w:val="0"/>
          <w:numId w:val="4"/>
        </w:numPr>
        <w:tabs>
          <w:tab w:val="clear" w:pos="1211"/>
          <w:tab w:val="num" w:pos="0"/>
          <w:tab w:val="left" w:pos="1134"/>
          <w:tab w:val="left" w:pos="1276"/>
        </w:tabs>
        <w:ind w:left="0" w:firstLine="851"/>
        <w:rPr>
          <w:i/>
          <w:sz w:val="24"/>
          <w:szCs w:val="24"/>
        </w:rPr>
      </w:pPr>
      <w:r w:rsidRPr="00C62EF6">
        <w:rPr>
          <w:color w:val="333333"/>
          <w:sz w:val="24"/>
          <w:szCs w:val="24"/>
          <w:shd w:val="clear" w:color="auto" w:fill="FFFFFF"/>
        </w:rPr>
        <w:t>Lapkričio 21-ąją  Rietave vyko mišraus choro „Jūrava“ 65-erių veiklos metų koncertas.</w:t>
      </w:r>
      <w:r w:rsidRPr="00C62EF6">
        <w:rPr>
          <w:rStyle w:val="apple-converted-space"/>
          <w:color w:val="333333"/>
          <w:sz w:val="24"/>
          <w:szCs w:val="24"/>
          <w:shd w:val="clear" w:color="auto" w:fill="FFFFFF"/>
        </w:rPr>
        <w:t> </w:t>
      </w:r>
    </w:p>
    <w:p w:rsidR="00E97ECA" w:rsidRPr="00630125" w:rsidRDefault="00E97ECA" w:rsidP="006D327D">
      <w:pPr>
        <w:ind w:firstLine="0"/>
        <w:jc w:val="left"/>
        <w:rPr>
          <w:i/>
          <w:color w:val="000000"/>
        </w:rPr>
      </w:pPr>
      <w:r w:rsidRPr="00630125">
        <w:rPr>
          <w:i/>
          <w:color w:val="000000"/>
        </w:rPr>
        <w:t xml:space="preserve">           </w:t>
      </w:r>
    </w:p>
    <w:p w:rsidR="00E97ECA" w:rsidRPr="006E0652" w:rsidRDefault="00E97ECA" w:rsidP="006D327D">
      <w:pPr>
        <w:ind w:firstLine="0"/>
        <w:jc w:val="left"/>
        <w:rPr>
          <w:color w:val="000000"/>
        </w:rPr>
      </w:pPr>
      <w:r w:rsidRPr="006E0652">
        <w:rPr>
          <w:color w:val="000000"/>
        </w:rPr>
        <w:t xml:space="preserve">            201</w:t>
      </w:r>
      <w:r w:rsidR="00C62EF6" w:rsidRPr="006E0652">
        <w:rPr>
          <w:color w:val="000000"/>
        </w:rPr>
        <w:t>5</w:t>
      </w:r>
      <w:r w:rsidRPr="006E0652">
        <w:rPr>
          <w:color w:val="000000"/>
        </w:rPr>
        <w:t xml:space="preserve"> metais labai atsakingai ir sėkmingai buvo dirbama kartu su Savivaldybės administracijos direktoriumi, skyrių vedėjais ir specialistais, kruopščiai renkami ir analizuojami duomenys, vertinama susidariusi situacija. </w:t>
      </w:r>
    </w:p>
    <w:p w:rsidR="00E97ECA" w:rsidRPr="006E0652" w:rsidRDefault="00E97ECA" w:rsidP="006D327D">
      <w:pPr>
        <w:jc w:val="left"/>
        <w:rPr>
          <w:color w:val="000000"/>
        </w:rPr>
      </w:pPr>
      <w:r w:rsidRPr="006E0652">
        <w:rPr>
          <w:color w:val="000000"/>
        </w:rPr>
        <w:t>Gerbiami Tarybos nariai, šioje ataskaitoje paminėjau tik svarbiausius mero įgaliojimuose numatytus klausimus, kuriuos nagrinėti, teikti Tarybai ir spręsti teko asmeniškai man. Daugelį klausimų nagrinėti, rengti išvadas ir pasiūlymus buvo pavesta Savivaldybės administracijos padaliniams, jos teritoriniams padaliniams (seniūnijoms) ir Savivaldybės kontrolės ir audito tarnybai. Šių institucijų vadovai apie tai kalbės savo ataskaitose.</w:t>
      </w:r>
    </w:p>
    <w:p w:rsidR="003654F4" w:rsidRPr="006E0652" w:rsidRDefault="00E97ECA" w:rsidP="006D327D">
      <w:pPr>
        <w:widowControl w:val="0"/>
        <w:spacing w:line="273" w:lineRule="exact"/>
        <w:ind w:left="9" w:right="283" w:firstLine="0"/>
        <w:jc w:val="left"/>
        <w:rPr>
          <w:color w:val="000000"/>
        </w:rPr>
      </w:pPr>
      <w:r w:rsidRPr="006E0652">
        <w:rPr>
          <w:color w:val="000000"/>
        </w:rPr>
        <w:t xml:space="preserve">           </w:t>
      </w:r>
      <w:r w:rsidR="003654F4" w:rsidRPr="006E0652">
        <w:rPr>
          <w:color w:val="000000"/>
        </w:rPr>
        <w:t xml:space="preserve"> Dėkoju už bendradarbiavimą, aktyvų darbą, toleranciją, susiklausymą posėdžių metu. </w:t>
      </w:r>
    </w:p>
    <w:p w:rsidR="006E0652" w:rsidRDefault="006E0652" w:rsidP="006D327D">
      <w:pPr>
        <w:widowControl w:val="0"/>
        <w:spacing w:line="273" w:lineRule="exact"/>
        <w:ind w:left="9" w:right="283" w:firstLine="0"/>
        <w:jc w:val="left"/>
        <w:rPr>
          <w:color w:val="000000"/>
        </w:rPr>
      </w:pPr>
    </w:p>
    <w:p w:rsidR="006E0652" w:rsidRDefault="006E0652" w:rsidP="00E97ECA">
      <w:pPr>
        <w:widowControl w:val="0"/>
        <w:spacing w:line="273" w:lineRule="exact"/>
        <w:ind w:left="9" w:right="283" w:firstLine="0"/>
        <w:rPr>
          <w:color w:val="000000"/>
        </w:rPr>
      </w:pPr>
    </w:p>
    <w:p w:rsidR="006E0652" w:rsidRDefault="00E97ECA" w:rsidP="006E0652">
      <w:pPr>
        <w:widowControl w:val="0"/>
        <w:spacing w:line="273" w:lineRule="exact"/>
        <w:ind w:left="9" w:right="283" w:firstLine="0"/>
        <w:rPr>
          <w:i/>
        </w:rPr>
      </w:pPr>
      <w:r w:rsidRPr="006E0652">
        <w:rPr>
          <w:color w:val="000000"/>
        </w:rPr>
        <w:t>Savivaldybės meras</w:t>
      </w:r>
      <w:r w:rsidRPr="006E0652">
        <w:rPr>
          <w:color w:val="000000"/>
        </w:rPr>
        <w:tab/>
      </w:r>
      <w:r w:rsidRPr="006E0652">
        <w:rPr>
          <w:color w:val="000000"/>
        </w:rPr>
        <w:tab/>
      </w:r>
      <w:r w:rsidRPr="006E0652">
        <w:rPr>
          <w:color w:val="000000"/>
        </w:rPr>
        <w:tab/>
      </w:r>
      <w:r w:rsidRPr="006E0652">
        <w:rPr>
          <w:color w:val="000000"/>
        </w:rPr>
        <w:tab/>
        <w:t xml:space="preserve">                           </w:t>
      </w:r>
      <w:r w:rsidR="003654F4" w:rsidRPr="006E0652">
        <w:rPr>
          <w:color w:val="000000"/>
        </w:rPr>
        <w:t xml:space="preserve">    </w:t>
      </w:r>
      <w:r w:rsidRPr="006E0652">
        <w:rPr>
          <w:color w:val="000000"/>
        </w:rPr>
        <w:t xml:space="preserve">       Antanas Černeckis</w:t>
      </w:r>
    </w:p>
    <w:p w:rsidR="006E0652" w:rsidRDefault="006E0652"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D327D" w:rsidRDefault="006D327D" w:rsidP="00E7355B">
      <w:pPr>
        <w:pStyle w:val="Pagrindiniotekstotrauka"/>
        <w:tabs>
          <w:tab w:val="left" w:pos="1247"/>
        </w:tabs>
        <w:ind w:firstLine="0"/>
        <w:rPr>
          <w:i/>
        </w:rPr>
      </w:pPr>
    </w:p>
    <w:p w:rsidR="00630125" w:rsidRPr="00630125" w:rsidRDefault="00630125" w:rsidP="00E7355B">
      <w:pPr>
        <w:pStyle w:val="Pagrindiniotekstotrauka"/>
        <w:tabs>
          <w:tab w:val="left" w:pos="1247"/>
        </w:tabs>
        <w:ind w:firstLine="0"/>
      </w:pPr>
    </w:p>
    <w:sectPr w:rsidR="00630125" w:rsidRPr="00630125" w:rsidSect="00B14E8D">
      <w:headerReference w:type="even" r:id="rId104"/>
      <w:headerReference w:type="default" r:id="rId105"/>
      <w:footerReference w:type="default" r:id="rId106"/>
      <w:type w:val="continuous"/>
      <w:pgSz w:w="11907" w:h="16840" w:code="9"/>
      <w:pgMar w:top="1134" w:right="708" w:bottom="1134" w:left="1701" w:header="680" w:footer="454" w:gutter="0"/>
      <w:pgNumType w:start="3"/>
      <w:cols w:space="1296"/>
      <w:formProt w:val="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26C6" w:rsidRDefault="002E26C6">
      <w:r>
        <w:separator/>
      </w:r>
    </w:p>
  </w:endnote>
  <w:endnote w:type="continuationSeparator" w:id="1">
    <w:p w:rsidR="002E26C6" w:rsidRDefault="002E26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20002A87" w:usb1="80000000" w:usb2="00000008" w:usb3="00000000" w:csb0="000001FF" w:csb1="00000000"/>
  </w:font>
  <w:font w:name="Cambria">
    <w:panose1 w:val="02040503050406030204"/>
    <w:charset w:val="BA"/>
    <w:family w:val="roman"/>
    <w:pitch w:val="variable"/>
    <w:sig w:usb0="A00002EF" w:usb1="4000004B" w:usb2="00000000" w:usb3="00000000" w:csb0="0000009F" w:csb1="00000000"/>
  </w:font>
  <w:font w:name="Arial">
    <w:panose1 w:val="020B0604020202020204"/>
    <w:charset w:val="BA"/>
    <w:family w:val="swiss"/>
    <w:pitch w:val="variable"/>
    <w:sig w:usb0="20002A87" w:usb1="00000000" w:usb2="00000000" w:usb3="00000000" w:csb0="000001FF" w:csb1="00000000"/>
  </w:font>
  <w:font w:name="Tahoma">
    <w:panose1 w:val="020B0604030504040204"/>
    <w:charset w:val="BA"/>
    <w:family w:val="swiss"/>
    <w:pitch w:val="variable"/>
    <w:sig w:usb0="61002A87" w:usb1="80000000" w:usb2="00000008" w:usb3="00000000" w:csb0="000101FF" w:csb1="00000000"/>
  </w:font>
  <w:font w:name="Calibri">
    <w:panose1 w:val="020F0502020204030204"/>
    <w:charset w:val="BA"/>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Lucida Sans Unicode">
    <w:panose1 w:val="020B0602030504020204"/>
    <w:charset w:val="00"/>
    <w:family w:val="swiss"/>
    <w:pitch w:val="variable"/>
    <w:sig w:usb0="80000AFF" w:usb1="0000396B" w:usb2="00000000" w:usb3="00000000" w:csb0="0000003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Palemonas">
    <w:altName w:val="Times New Roman"/>
    <w:charset w:val="BA"/>
    <w:family w:val="roman"/>
    <w:pitch w:val="variable"/>
    <w:sig w:usb0="00000001" w:usb1="500028EF" w:usb2="00000024" w:usb3="00000000" w:csb0="0000009F" w:csb1="00000000"/>
  </w:font>
  <w:font w:name="TimesNewRomanPSMT">
    <w:altName w:val="Arial Unicode MS"/>
    <w:charset w:val="8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088" w:rsidRDefault="00A01088">
    <w:pPr>
      <w:pStyle w:val="Porat"/>
      <w:jc w:val="center"/>
    </w:pPr>
  </w:p>
  <w:p w:rsidR="00A01088" w:rsidRDefault="00A01088">
    <w:pPr>
      <w:pStyle w:val="Porat"/>
      <w:rPr>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26C6" w:rsidRDefault="002E26C6">
      <w:r>
        <w:separator/>
      </w:r>
    </w:p>
  </w:footnote>
  <w:footnote w:type="continuationSeparator" w:id="1">
    <w:p w:rsidR="002E26C6" w:rsidRDefault="002E26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088" w:rsidRDefault="00C93CFA" w:rsidP="00F87160">
    <w:pPr>
      <w:pStyle w:val="Antrats"/>
      <w:framePr w:wrap="around" w:vAnchor="text" w:hAnchor="margin" w:xAlign="center" w:y="1"/>
      <w:rPr>
        <w:rStyle w:val="Puslapionumeris"/>
      </w:rPr>
    </w:pPr>
    <w:r>
      <w:rPr>
        <w:rStyle w:val="Puslapionumeris"/>
      </w:rPr>
      <w:fldChar w:fldCharType="begin"/>
    </w:r>
    <w:r w:rsidR="00A01088">
      <w:rPr>
        <w:rStyle w:val="Puslapionumeris"/>
      </w:rPr>
      <w:instrText xml:space="preserve">PAGE  </w:instrText>
    </w:r>
    <w:r>
      <w:rPr>
        <w:rStyle w:val="Puslapionumeris"/>
      </w:rPr>
      <w:fldChar w:fldCharType="end"/>
    </w:r>
  </w:p>
  <w:p w:rsidR="00A01088" w:rsidRDefault="00A01088">
    <w:pPr>
      <w:pStyle w:val="Antrat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088" w:rsidRDefault="00A01088" w:rsidP="00B44C8F">
    <w:pPr>
      <w:pStyle w:val="Antrats"/>
      <w:framePr w:wrap="around" w:vAnchor="text" w:hAnchor="margin" w:xAlign="center" w:y="1"/>
      <w:rPr>
        <w:rStyle w:val="Puslapionumeris"/>
      </w:rPr>
    </w:pPr>
  </w:p>
  <w:p w:rsidR="00A01088" w:rsidRDefault="00A01088" w:rsidP="00B44C8F">
    <w:pPr>
      <w:pStyle w:val="Antrats"/>
      <w:framePr w:wrap="around" w:vAnchor="text" w:hAnchor="margin" w:xAlign="center" w:y="1"/>
      <w:rPr>
        <w:rStyle w:val="Puslapionumeris"/>
      </w:rPr>
    </w:pPr>
  </w:p>
  <w:p w:rsidR="00A01088" w:rsidRDefault="00A01088" w:rsidP="00F87160">
    <w:pPr>
      <w:pStyle w:val="Antrat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800B98E"/>
    <w:lvl w:ilvl="0">
      <w:start w:val="1"/>
      <w:numFmt w:val="bullet"/>
      <w:pStyle w:val="Sraassuenkleliais"/>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cs="Wingdings" w:hint="default"/>
        <w:szCs w:val="24"/>
      </w:rPr>
    </w:lvl>
  </w:abstractNum>
  <w:abstractNum w:abstractNumId="4">
    <w:nsid w:val="01FF2F7E"/>
    <w:multiLevelType w:val="hybridMultilevel"/>
    <w:tmpl w:val="998883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nsid w:val="02BC13AF"/>
    <w:multiLevelType w:val="hybridMultilevel"/>
    <w:tmpl w:val="BAA0240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nsid w:val="0CAE257D"/>
    <w:multiLevelType w:val="multilevel"/>
    <w:tmpl w:val="CD920474"/>
    <w:lvl w:ilvl="0">
      <w:start w:val="1"/>
      <w:numFmt w:val="decimal"/>
      <w:lvlText w:val="%1."/>
      <w:lvlJc w:val="left"/>
      <w:pPr>
        <w:ind w:left="360" w:hanging="360"/>
      </w:pPr>
      <w:rPr>
        <w:rFonts w:hint="default"/>
      </w:rPr>
    </w:lvl>
    <w:lvl w:ilvl="1">
      <w:start w:val="3"/>
      <w:numFmt w:val="decimal"/>
      <w:lvlText w:val="%1.%2."/>
      <w:lvlJc w:val="left"/>
      <w:pPr>
        <w:ind w:left="1656" w:hanging="360"/>
      </w:pPr>
      <w:rPr>
        <w:rFonts w:hint="default"/>
      </w:rPr>
    </w:lvl>
    <w:lvl w:ilvl="2">
      <w:start w:val="1"/>
      <w:numFmt w:val="decimal"/>
      <w:lvlText w:val="%1.%2.%3."/>
      <w:lvlJc w:val="left"/>
      <w:pPr>
        <w:ind w:left="3312" w:hanging="720"/>
      </w:pPr>
      <w:rPr>
        <w:rFonts w:hint="default"/>
      </w:rPr>
    </w:lvl>
    <w:lvl w:ilvl="3">
      <w:start w:val="1"/>
      <w:numFmt w:val="decimal"/>
      <w:lvlText w:val="%1.%2.%3.%4."/>
      <w:lvlJc w:val="left"/>
      <w:pPr>
        <w:ind w:left="4608" w:hanging="720"/>
      </w:pPr>
      <w:rPr>
        <w:rFonts w:hint="default"/>
      </w:rPr>
    </w:lvl>
    <w:lvl w:ilvl="4">
      <w:start w:val="1"/>
      <w:numFmt w:val="decimal"/>
      <w:lvlText w:val="%1.%2.%3.%4.%5."/>
      <w:lvlJc w:val="left"/>
      <w:pPr>
        <w:ind w:left="6264" w:hanging="1080"/>
      </w:pPr>
      <w:rPr>
        <w:rFonts w:hint="default"/>
      </w:rPr>
    </w:lvl>
    <w:lvl w:ilvl="5">
      <w:start w:val="1"/>
      <w:numFmt w:val="decimal"/>
      <w:lvlText w:val="%1.%2.%3.%4.%5.%6."/>
      <w:lvlJc w:val="left"/>
      <w:pPr>
        <w:ind w:left="7560" w:hanging="1080"/>
      </w:pPr>
      <w:rPr>
        <w:rFonts w:hint="default"/>
      </w:rPr>
    </w:lvl>
    <w:lvl w:ilvl="6">
      <w:start w:val="1"/>
      <w:numFmt w:val="decimal"/>
      <w:lvlText w:val="%1.%2.%3.%4.%5.%6.%7."/>
      <w:lvlJc w:val="left"/>
      <w:pPr>
        <w:ind w:left="9216" w:hanging="1440"/>
      </w:pPr>
      <w:rPr>
        <w:rFonts w:hint="default"/>
      </w:rPr>
    </w:lvl>
    <w:lvl w:ilvl="7">
      <w:start w:val="1"/>
      <w:numFmt w:val="decimal"/>
      <w:lvlText w:val="%1.%2.%3.%4.%5.%6.%7.%8."/>
      <w:lvlJc w:val="left"/>
      <w:pPr>
        <w:ind w:left="10512" w:hanging="1440"/>
      </w:pPr>
      <w:rPr>
        <w:rFonts w:hint="default"/>
      </w:rPr>
    </w:lvl>
    <w:lvl w:ilvl="8">
      <w:start w:val="1"/>
      <w:numFmt w:val="decimal"/>
      <w:lvlText w:val="%1.%2.%3.%4.%5.%6.%7.%8.%9."/>
      <w:lvlJc w:val="left"/>
      <w:pPr>
        <w:ind w:left="12168" w:hanging="1800"/>
      </w:pPr>
      <w:rPr>
        <w:rFonts w:hint="default"/>
      </w:rPr>
    </w:lvl>
  </w:abstractNum>
  <w:abstractNum w:abstractNumId="7">
    <w:nsid w:val="0DA93A69"/>
    <w:multiLevelType w:val="multilevel"/>
    <w:tmpl w:val="6EDC5066"/>
    <w:lvl w:ilvl="0">
      <w:start w:val="1"/>
      <w:numFmt w:val="decimal"/>
      <w:pStyle w:val="1stlevelheading"/>
      <w:lvlText w:val="%1."/>
      <w:lvlJc w:val="left"/>
      <w:pPr>
        <w:tabs>
          <w:tab w:val="num" w:pos="680"/>
        </w:tabs>
        <w:ind w:left="0" w:firstLine="0"/>
      </w:pPr>
      <w:rPr>
        <w:rFonts w:hint="default"/>
      </w:rPr>
    </w:lvl>
    <w:lvl w:ilvl="1">
      <w:start w:val="1"/>
      <w:numFmt w:val="decimal"/>
      <w:pStyle w:val="2ndlevelprovision"/>
      <w:lvlText w:val="%1.%2."/>
      <w:lvlJc w:val="left"/>
      <w:pPr>
        <w:tabs>
          <w:tab w:val="num" w:pos="1608"/>
        </w:tabs>
        <w:ind w:left="1608" w:hanging="708"/>
      </w:pPr>
      <w:rPr>
        <w:rFonts w:hint="default"/>
        <w:sz w:val="22"/>
        <w:szCs w:val="22"/>
      </w:rPr>
    </w:lvl>
    <w:lvl w:ilvl="2">
      <w:start w:val="1"/>
      <w:numFmt w:val="decimal"/>
      <w:pStyle w:val="3rdlevelsubprovision"/>
      <w:lvlText w:val="%1.%2.%3."/>
      <w:lvlJc w:val="left"/>
      <w:pPr>
        <w:tabs>
          <w:tab w:val="num" w:pos="907"/>
        </w:tabs>
        <w:ind w:left="907" w:hanging="367"/>
      </w:pPr>
      <w:rPr>
        <w:rFonts w:hint="default"/>
        <w:b w:val="0"/>
        <w:sz w:val="22"/>
        <w:szCs w:val="22"/>
      </w:rPr>
    </w:lvl>
    <w:lvl w:ilvl="3">
      <w:start w:val="1"/>
      <w:numFmt w:val="lowerLetter"/>
      <w:pStyle w:val="4thlevellist"/>
      <w:lvlText w:val="(%4)"/>
      <w:lvlJc w:val="left"/>
      <w:pPr>
        <w:tabs>
          <w:tab w:val="num" w:pos="2093"/>
        </w:tabs>
        <w:ind w:left="2093" w:hanging="708"/>
      </w:pPr>
      <w:rPr>
        <w:rFonts w:hint="default"/>
      </w:rPr>
    </w:lvl>
    <w:lvl w:ilvl="4">
      <w:start w:val="1"/>
      <w:numFmt w:val="lowerRoman"/>
      <w:pStyle w:val="5thlevel"/>
      <w:lvlText w:val="(%5)"/>
      <w:lvlJc w:val="left"/>
      <w:pPr>
        <w:tabs>
          <w:tab w:val="num" w:pos="-739"/>
        </w:tabs>
        <w:ind w:left="2801" w:hanging="708"/>
      </w:pPr>
      <w:rPr>
        <w:rFonts w:hint="default"/>
      </w:rPr>
    </w:lvl>
    <w:lvl w:ilvl="5">
      <w:start w:val="1"/>
      <w:numFmt w:val="decimal"/>
      <w:lvlText w:val="(%4)%5.%6."/>
      <w:lvlJc w:val="left"/>
      <w:pPr>
        <w:tabs>
          <w:tab w:val="num" w:pos="-739"/>
        </w:tabs>
        <w:ind w:left="3509" w:hanging="708"/>
      </w:pPr>
      <w:rPr>
        <w:rFonts w:hint="default"/>
      </w:rPr>
    </w:lvl>
    <w:lvl w:ilvl="6">
      <w:start w:val="1"/>
      <w:numFmt w:val="decimal"/>
      <w:lvlText w:val="(%4)%5.%6.%7."/>
      <w:lvlJc w:val="left"/>
      <w:pPr>
        <w:tabs>
          <w:tab w:val="num" w:pos="-739"/>
        </w:tabs>
        <w:ind w:left="4217" w:hanging="708"/>
      </w:pPr>
      <w:rPr>
        <w:rFonts w:hint="default"/>
      </w:rPr>
    </w:lvl>
    <w:lvl w:ilvl="7">
      <w:start w:val="1"/>
      <w:numFmt w:val="decimal"/>
      <w:lvlText w:val="(%4)%5.%6.%7.%8."/>
      <w:lvlJc w:val="left"/>
      <w:pPr>
        <w:tabs>
          <w:tab w:val="num" w:pos="-739"/>
        </w:tabs>
        <w:ind w:left="4925" w:hanging="708"/>
      </w:pPr>
      <w:rPr>
        <w:rFonts w:hint="default"/>
      </w:rPr>
    </w:lvl>
    <w:lvl w:ilvl="8">
      <w:start w:val="1"/>
      <w:numFmt w:val="decimal"/>
      <w:lvlText w:val="(%4)%5.%6.%7.%8.%9."/>
      <w:lvlJc w:val="left"/>
      <w:pPr>
        <w:tabs>
          <w:tab w:val="num" w:pos="-739"/>
        </w:tabs>
        <w:ind w:left="5633" w:hanging="708"/>
      </w:pPr>
      <w:rPr>
        <w:rFonts w:hint="default"/>
      </w:rPr>
    </w:lvl>
  </w:abstractNum>
  <w:abstractNum w:abstractNumId="8">
    <w:nsid w:val="0E0B5F19"/>
    <w:multiLevelType w:val="hybridMultilevel"/>
    <w:tmpl w:val="0688FEB8"/>
    <w:lvl w:ilvl="0" w:tplc="7B1411C2">
      <w:start w:val="1"/>
      <w:numFmt w:val="bullet"/>
      <w:lvlText w:val=""/>
      <w:lvlJc w:val="left"/>
      <w:pPr>
        <w:tabs>
          <w:tab w:val="num" w:pos="720"/>
        </w:tabs>
        <w:ind w:left="720" w:hanging="360"/>
      </w:pPr>
      <w:rPr>
        <w:rFonts w:ascii="Wingdings" w:hAnsi="Wingdings" w:hint="default"/>
      </w:rPr>
    </w:lvl>
    <w:lvl w:ilvl="1" w:tplc="836C241E" w:tentative="1">
      <w:start w:val="1"/>
      <w:numFmt w:val="bullet"/>
      <w:lvlText w:val=""/>
      <w:lvlJc w:val="left"/>
      <w:pPr>
        <w:tabs>
          <w:tab w:val="num" w:pos="1440"/>
        </w:tabs>
        <w:ind w:left="1440" w:hanging="360"/>
      </w:pPr>
      <w:rPr>
        <w:rFonts w:ascii="Wingdings" w:hAnsi="Wingdings" w:hint="default"/>
      </w:rPr>
    </w:lvl>
    <w:lvl w:ilvl="2" w:tplc="1FA0B7F6" w:tentative="1">
      <w:start w:val="1"/>
      <w:numFmt w:val="bullet"/>
      <w:lvlText w:val=""/>
      <w:lvlJc w:val="left"/>
      <w:pPr>
        <w:tabs>
          <w:tab w:val="num" w:pos="2160"/>
        </w:tabs>
        <w:ind w:left="2160" w:hanging="360"/>
      </w:pPr>
      <w:rPr>
        <w:rFonts w:ascii="Wingdings" w:hAnsi="Wingdings" w:hint="default"/>
      </w:rPr>
    </w:lvl>
    <w:lvl w:ilvl="3" w:tplc="D018D802" w:tentative="1">
      <w:start w:val="1"/>
      <w:numFmt w:val="bullet"/>
      <w:lvlText w:val=""/>
      <w:lvlJc w:val="left"/>
      <w:pPr>
        <w:tabs>
          <w:tab w:val="num" w:pos="2880"/>
        </w:tabs>
        <w:ind w:left="2880" w:hanging="360"/>
      </w:pPr>
      <w:rPr>
        <w:rFonts w:ascii="Wingdings" w:hAnsi="Wingdings" w:hint="default"/>
      </w:rPr>
    </w:lvl>
    <w:lvl w:ilvl="4" w:tplc="3FF2A37C" w:tentative="1">
      <w:start w:val="1"/>
      <w:numFmt w:val="bullet"/>
      <w:lvlText w:val=""/>
      <w:lvlJc w:val="left"/>
      <w:pPr>
        <w:tabs>
          <w:tab w:val="num" w:pos="3600"/>
        </w:tabs>
        <w:ind w:left="3600" w:hanging="360"/>
      </w:pPr>
      <w:rPr>
        <w:rFonts w:ascii="Wingdings" w:hAnsi="Wingdings" w:hint="default"/>
      </w:rPr>
    </w:lvl>
    <w:lvl w:ilvl="5" w:tplc="63C62110" w:tentative="1">
      <w:start w:val="1"/>
      <w:numFmt w:val="bullet"/>
      <w:lvlText w:val=""/>
      <w:lvlJc w:val="left"/>
      <w:pPr>
        <w:tabs>
          <w:tab w:val="num" w:pos="4320"/>
        </w:tabs>
        <w:ind w:left="4320" w:hanging="360"/>
      </w:pPr>
      <w:rPr>
        <w:rFonts w:ascii="Wingdings" w:hAnsi="Wingdings" w:hint="default"/>
      </w:rPr>
    </w:lvl>
    <w:lvl w:ilvl="6" w:tplc="C5669170" w:tentative="1">
      <w:start w:val="1"/>
      <w:numFmt w:val="bullet"/>
      <w:lvlText w:val=""/>
      <w:lvlJc w:val="left"/>
      <w:pPr>
        <w:tabs>
          <w:tab w:val="num" w:pos="5040"/>
        </w:tabs>
        <w:ind w:left="5040" w:hanging="360"/>
      </w:pPr>
      <w:rPr>
        <w:rFonts w:ascii="Wingdings" w:hAnsi="Wingdings" w:hint="default"/>
      </w:rPr>
    </w:lvl>
    <w:lvl w:ilvl="7" w:tplc="0CA098CE" w:tentative="1">
      <w:start w:val="1"/>
      <w:numFmt w:val="bullet"/>
      <w:lvlText w:val=""/>
      <w:lvlJc w:val="left"/>
      <w:pPr>
        <w:tabs>
          <w:tab w:val="num" w:pos="5760"/>
        </w:tabs>
        <w:ind w:left="5760" w:hanging="360"/>
      </w:pPr>
      <w:rPr>
        <w:rFonts w:ascii="Wingdings" w:hAnsi="Wingdings" w:hint="default"/>
      </w:rPr>
    </w:lvl>
    <w:lvl w:ilvl="8" w:tplc="85EE696E" w:tentative="1">
      <w:start w:val="1"/>
      <w:numFmt w:val="bullet"/>
      <w:lvlText w:val=""/>
      <w:lvlJc w:val="left"/>
      <w:pPr>
        <w:tabs>
          <w:tab w:val="num" w:pos="6480"/>
        </w:tabs>
        <w:ind w:left="6480" w:hanging="360"/>
      </w:pPr>
      <w:rPr>
        <w:rFonts w:ascii="Wingdings" w:hAnsi="Wingdings" w:hint="default"/>
      </w:rPr>
    </w:lvl>
  </w:abstractNum>
  <w:abstractNum w:abstractNumId="9">
    <w:nsid w:val="130559B3"/>
    <w:multiLevelType w:val="hybridMultilevel"/>
    <w:tmpl w:val="B7D60728"/>
    <w:lvl w:ilvl="0" w:tplc="E054719A">
      <w:start w:val="1"/>
      <w:numFmt w:val="decimal"/>
      <w:lvlText w:val="%1."/>
      <w:lvlJc w:val="left"/>
      <w:pPr>
        <w:tabs>
          <w:tab w:val="num" w:pos="1211"/>
        </w:tabs>
        <w:ind w:left="1211" w:hanging="360"/>
      </w:pPr>
      <w:rPr>
        <w:rFonts w:hint="default"/>
        <w:i w:val="0"/>
      </w:rPr>
    </w:lvl>
    <w:lvl w:ilvl="1" w:tplc="04270019" w:tentative="1">
      <w:start w:val="1"/>
      <w:numFmt w:val="lowerLetter"/>
      <w:lvlText w:val="%2."/>
      <w:lvlJc w:val="left"/>
      <w:pPr>
        <w:tabs>
          <w:tab w:val="num" w:pos="1931"/>
        </w:tabs>
        <w:ind w:left="1931" w:hanging="360"/>
      </w:pPr>
    </w:lvl>
    <w:lvl w:ilvl="2" w:tplc="0427001B" w:tentative="1">
      <w:start w:val="1"/>
      <w:numFmt w:val="lowerRoman"/>
      <w:lvlText w:val="%3."/>
      <w:lvlJc w:val="right"/>
      <w:pPr>
        <w:tabs>
          <w:tab w:val="num" w:pos="2651"/>
        </w:tabs>
        <w:ind w:left="2651" w:hanging="180"/>
      </w:pPr>
    </w:lvl>
    <w:lvl w:ilvl="3" w:tplc="0427000F" w:tentative="1">
      <w:start w:val="1"/>
      <w:numFmt w:val="decimal"/>
      <w:lvlText w:val="%4."/>
      <w:lvlJc w:val="left"/>
      <w:pPr>
        <w:tabs>
          <w:tab w:val="num" w:pos="3371"/>
        </w:tabs>
        <w:ind w:left="3371" w:hanging="360"/>
      </w:pPr>
    </w:lvl>
    <w:lvl w:ilvl="4" w:tplc="04270019" w:tentative="1">
      <w:start w:val="1"/>
      <w:numFmt w:val="lowerLetter"/>
      <w:lvlText w:val="%5."/>
      <w:lvlJc w:val="left"/>
      <w:pPr>
        <w:tabs>
          <w:tab w:val="num" w:pos="4091"/>
        </w:tabs>
        <w:ind w:left="4091" w:hanging="360"/>
      </w:pPr>
    </w:lvl>
    <w:lvl w:ilvl="5" w:tplc="0427001B" w:tentative="1">
      <w:start w:val="1"/>
      <w:numFmt w:val="lowerRoman"/>
      <w:lvlText w:val="%6."/>
      <w:lvlJc w:val="right"/>
      <w:pPr>
        <w:tabs>
          <w:tab w:val="num" w:pos="4811"/>
        </w:tabs>
        <w:ind w:left="4811" w:hanging="180"/>
      </w:pPr>
    </w:lvl>
    <w:lvl w:ilvl="6" w:tplc="0427000F" w:tentative="1">
      <w:start w:val="1"/>
      <w:numFmt w:val="decimal"/>
      <w:lvlText w:val="%7."/>
      <w:lvlJc w:val="left"/>
      <w:pPr>
        <w:tabs>
          <w:tab w:val="num" w:pos="5531"/>
        </w:tabs>
        <w:ind w:left="5531" w:hanging="360"/>
      </w:pPr>
    </w:lvl>
    <w:lvl w:ilvl="7" w:tplc="04270019" w:tentative="1">
      <w:start w:val="1"/>
      <w:numFmt w:val="lowerLetter"/>
      <w:lvlText w:val="%8."/>
      <w:lvlJc w:val="left"/>
      <w:pPr>
        <w:tabs>
          <w:tab w:val="num" w:pos="6251"/>
        </w:tabs>
        <w:ind w:left="6251" w:hanging="360"/>
      </w:pPr>
    </w:lvl>
    <w:lvl w:ilvl="8" w:tplc="0427001B" w:tentative="1">
      <w:start w:val="1"/>
      <w:numFmt w:val="lowerRoman"/>
      <w:lvlText w:val="%9."/>
      <w:lvlJc w:val="right"/>
      <w:pPr>
        <w:tabs>
          <w:tab w:val="num" w:pos="6971"/>
        </w:tabs>
        <w:ind w:left="6971" w:hanging="180"/>
      </w:pPr>
    </w:lvl>
  </w:abstractNum>
  <w:abstractNum w:abstractNumId="10">
    <w:nsid w:val="1EFC6A68"/>
    <w:multiLevelType w:val="multilevel"/>
    <w:tmpl w:val="8B58241A"/>
    <w:lvl w:ilvl="0">
      <w:start w:val="1"/>
      <w:numFmt w:val="decimal"/>
      <w:lvlText w:val="%1."/>
      <w:lvlJc w:val="left"/>
      <w:pPr>
        <w:ind w:left="1656" w:hanging="360"/>
      </w:pPr>
      <w:rPr>
        <w:rFonts w:hint="default"/>
      </w:rPr>
    </w:lvl>
    <w:lvl w:ilvl="1">
      <w:start w:val="1"/>
      <w:numFmt w:val="decimal"/>
      <w:isLgl/>
      <w:lvlText w:val="%1.%2."/>
      <w:lvlJc w:val="left"/>
      <w:pPr>
        <w:ind w:left="1656" w:hanging="360"/>
      </w:pPr>
      <w:rPr>
        <w:rFonts w:hint="default"/>
      </w:rPr>
    </w:lvl>
    <w:lvl w:ilvl="2">
      <w:start w:val="1"/>
      <w:numFmt w:val="decimal"/>
      <w:isLgl/>
      <w:lvlText w:val="%1.%2.%3."/>
      <w:lvlJc w:val="left"/>
      <w:pPr>
        <w:ind w:left="2016" w:hanging="720"/>
      </w:pPr>
      <w:rPr>
        <w:rFonts w:hint="default"/>
      </w:rPr>
    </w:lvl>
    <w:lvl w:ilvl="3">
      <w:start w:val="1"/>
      <w:numFmt w:val="decimal"/>
      <w:isLgl/>
      <w:lvlText w:val="%1.%2.%3.%4."/>
      <w:lvlJc w:val="left"/>
      <w:pPr>
        <w:ind w:left="2016" w:hanging="720"/>
      </w:pPr>
      <w:rPr>
        <w:rFonts w:hint="default"/>
      </w:rPr>
    </w:lvl>
    <w:lvl w:ilvl="4">
      <w:start w:val="1"/>
      <w:numFmt w:val="decimal"/>
      <w:isLgl/>
      <w:lvlText w:val="%1.%2.%3.%4.%5."/>
      <w:lvlJc w:val="left"/>
      <w:pPr>
        <w:ind w:left="2376" w:hanging="1080"/>
      </w:pPr>
      <w:rPr>
        <w:rFonts w:hint="default"/>
      </w:rPr>
    </w:lvl>
    <w:lvl w:ilvl="5">
      <w:start w:val="1"/>
      <w:numFmt w:val="decimal"/>
      <w:isLgl/>
      <w:lvlText w:val="%1.%2.%3.%4.%5.%6."/>
      <w:lvlJc w:val="left"/>
      <w:pPr>
        <w:ind w:left="2376" w:hanging="1080"/>
      </w:pPr>
      <w:rPr>
        <w:rFonts w:hint="default"/>
      </w:rPr>
    </w:lvl>
    <w:lvl w:ilvl="6">
      <w:start w:val="1"/>
      <w:numFmt w:val="decimal"/>
      <w:isLgl/>
      <w:lvlText w:val="%1.%2.%3.%4.%5.%6.%7."/>
      <w:lvlJc w:val="left"/>
      <w:pPr>
        <w:ind w:left="2736" w:hanging="1440"/>
      </w:pPr>
      <w:rPr>
        <w:rFonts w:hint="default"/>
      </w:rPr>
    </w:lvl>
    <w:lvl w:ilvl="7">
      <w:start w:val="1"/>
      <w:numFmt w:val="decimal"/>
      <w:isLgl/>
      <w:lvlText w:val="%1.%2.%3.%4.%5.%6.%7.%8."/>
      <w:lvlJc w:val="left"/>
      <w:pPr>
        <w:ind w:left="2736" w:hanging="1440"/>
      </w:pPr>
      <w:rPr>
        <w:rFonts w:hint="default"/>
      </w:rPr>
    </w:lvl>
    <w:lvl w:ilvl="8">
      <w:start w:val="1"/>
      <w:numFmt w:val="decimal"/>
      <w:isLgl/>
      <w:lvlText w:val="%1.%2.%3.%4.%5.%6.%7.%8.%9."/>
      <w:lvlJc w:val="left"/>
      <w:pPr>
        <w:ind w:left="3096" w:hanging="1800"/>
      </w:pPr>
      <w:rPr>
        <w:rFonts w:hint="default"/>
      </w:rPr>
    </w:lvl>
  </w:abstractNum>
  <w:abstractNum w:abstractNumId="11">
    <w:nsid w:val="29EE5A76"/>
    <w:multiLevelType w:val="hybridMultilevel"/>
    <w:tmpl w:val="2DAC75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nsid w:val="3E034659"/>
    <w:multiLevelType w:val="hybridMultilevel"/>
    <w:tmpl w:val="9E66266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nsid w:val="49A86C57"/>
    <w:multiLevelType w:val="multilevel"/>
    <w:tmpl w:val="0F06960C"/>
    <w:lvl w:ilvl="0">
      <w:start w:val="1"/>
      <w:numFmt w:val="decimal"/>
      <w:pStyle w:val="StiliusAbipuslygiuot"/>
      <w:suff w:val="space"/>
      <w:lvlText w:val="%1."/>
      <w:lvlJc w:val="left"/>
      <w:pPr>
        <w:ind w:left="40" w:firstLine="680"/>
      </w:pPr>
      <w:rPr>
        <w:rFonts w:ascii="Times New Roman" w:hAnsi="Times New Roman" w:hint="default"/>
        <w:b w:val="0"/>
        <w:i w:val="0"/>
        <w:sz w:val="24"/>
        <w:szCs w:val="24"/>
      </w:rPr>
    </w:lvl>
    <w:lvl w:ilvl="1">
      <w:start w:val="1"/>
      <w:numFmt w:val="decimal"/>
      <w:suff w:val="space"/>
      <w:lvlText w:val="%1.%2."/>
      <w:lvlJc w:val="left"/>
      <w:pPr>
        <w:ind w:left="40" w:firstLine="680"/>
      </w:pPr>
      <w:rPr>
        <w:rFonts w:ascii="Times New Roman" w:hAnsi="Times New Roman" w:hint="default"/>
        <w:b w:val="0"/>
        <w:i w:val="0"/>
        <w:sz w:val="24"/>
        <w:szCs w:val="24"/>
      </w:rPr>
    </w:lvl>
    <w:lvl w:ilvl="2">
      <w:start w:val="1"/>
      <w:numFmt w:val="decimal"/>
      <w:suff w:val="space"/>
      <w:lvlText w:val="%1.%2.%3."/>
      <w:lvlJc w:val="left"/>
      <w:pPr>
        <w:ind w:left="-480" w:firstLine="680"/>
      </w:pPr>
      <w:rPr>
        <w:rFonts w:ascii="Times New Roman" w:hAnsi="Times New Roman" w:hint="default"/>
        <w:b w:val="0"/>
        <w:i w:val="0"/>
        <w:sz w:val="24"/>
        <w:szCs w:val="24"/>
      </w:rPr>
    </w:lvl>
    <w:lvl w:ilvl="3">
      <w:start w:val="1"/>
      <w:numFmt w:val="none"/>
      <w:lvlText w:val=".%2.%4.%3."/>
      <w:lvlJc w:val="left"/>
      <w:pPr>
        <w:tabs>
          <w:tab w:val="num" w:pos="880"/>
        </w:tabs>
        <w:ind w:left="200" w:firstLine="680"/>
      </w:pPr>
      <w:rPr>
        <w:rFonts w:hint="default"/>
      </w:rPr>
    </w:lvl>
    <w:lvl w:ilvl="4">
      <w:start w:val="1"/>
      <w:numFmt w:val="none"/>
      <w:lvlText w:val="(%5)"/>
      <w:lvlJc w:val="left"/>
      <w:pPr>
        <w:tabs>
          <w:tab w:val="num" w:pos="1960"/>
        </w:tabs>
        <w:ind w:left="1600" w:firstLine="0"/>
      </w:pPr>
      <w:rPr>
        <w:rFonts w:hint="default"/>
      </w:rPr>
    </w:lvl>
    <w:lvl w:ilvl="5">
      <w:start w:val="1"/>
      <w:numFmt w:val="none"/>
      <w:lvlText w:val="(%6)"/>
      <w:lvlJc w:val="left"/>
      <w:pPr>
        <w:tabs>
          <w:tab w:val="num" w:pos="2680"/>
        </w:tabs>
        <w:ind w:left="2320" w:firstLine="0"/>
      </w:pPr>
      <w:rPr>
        <w:rFonts w:hint="default"/>
      </w:rPr>
    </w:lvl>
    <w:lvl w:ilvl="6">
      <w:start w:val="1"/>
      <w:numFmt w:val="none"/>
      <w:lvlText w:val="(%7)"/>
      <w:lvlJc w:val="left"/>
      <w:pPr>
        <w:tabs>
          <w:tab w:val="num" w:pos="3400"/>
        </w:tabs>
        <w:ind w:left="3040" w:firstLine="0"/>
      </w:pPr>
      <w:rPr>
        <w:rFonts w:hint="default"/>
      </w:rPr>
    </w:lvl>
    <w:lvl w:ilvl="7">
      <w:start w:val="1"/>
      <w:numFmt w:val="none"/>
      <w:lvlText w:val="(%8)"/>
      <w:lvlJc w:val="left"/>
      <w:pPr>
        <w:tabs>
          <w:tab w:val="num" w:pos="4120"/>
        </w:tabs>
        <w:ind w:left="3760" w:firstLine="0"/>
      </w:pPr>
      <w:rPr>
        <w:rFonts w:hint="default"/>
      </w:rPr>
    </w:lvl>
    <w:lvl w:ilvl="8">
      <w:start w:val="1"/>
      <w:numFmt w:val="none"/>
      <w:lvlText w:val="(%9)"/>
      <w:lvlJc w:val="left"/>
      <w:pPr>
        <w:tabs>
          <w:tab w:val="num" w:pos="4840"/>
        </w:tabs>
        <w:ind w:left="4480" w:firstLine="0"/>
      </w:pPr>
      <w:rPr>
        <w:rFonts w:hint="default"/>
      </w:rPr>
    </w:lvl>
  </w:abstractNum>
  <w:abstractNum w:abstractNumId="14">
    <w:nsid w:val="57331371"/>
    <w:multiLevelType w:val="hybridMultilevel"/>
    <w:tmpl w:val="8280F1AC"/>
    <w:lvl w:ilvl="0" w:tplc="B7303B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08140F"/>
    <w:multiLevelType w:val="hybridMultilevel"/>
    <w:tmpl w:val="956E3C40"/>
    <w:lvl w:ilvl="0" w:tplc="EC3EABA4">
      <w:start w:val="1"/>
      <w:numFmt w:val="bullet"/>
      <w:lvlText w:val=""/>
      <w:lvlJc w:val="left"/>
      <w:pPr>
        <w:tabs>
          <w:tab w:val="num" w:pos="720"/>
        </w:tabs>
        <w:ind w:left="720" w:hanging="360"/>
      </w:pPr>
      <w:rPr>
        <w:rFonts w:ascii="Wingdings" w:hAnsi="Wingdings" w:hint="default"/>
      </w:rPr>
    </w:lvl>
    <w:lvl w:ilvl="1" w:tplc="5664BD44" w:tentative="1">
      <w:start w:val="1"/>
      <w:numFmt w:val="bullet"/>
      <w:lvlText w:val=""/>
      <w:lvlJc w:val="left"/>
      <w:pPr>
        <w:tabs>
          <w:tab w:val="num" w:pos="1440"/>
        </w:tabs>
        <w:ind w:left="1440" w:hanging="360"/>
      </w:pPr>
      <w:rPr>
        <w:rFonts w:ascii="Wingdings" w:hAnsi="Wingdings" w:hint="default"/>
      </w:rPr>
    </w:lvl>
    <w:lvl w:ilvl="2" w:tplc="8180A2BC" w:tentative="1">
      <w:start w:val="1"/>
      <w:numFmt w:val="bullet"/>
      <w:lvlText w:val=""/>
      <w:lvlJc w:val="left"/>
      <w:pPr>
        <w:tabs>
          <w:tab w:val="num" w:pos="2160"/>
        </w:tabs>
        <w:ind w:left="2160" w:hanging="360"/>
      </w:pPr>
      <w:rPr>
        <w:rFonts w:ascii="Wingdings" w:hAnsi="Wingdings" w:hint="default"/>
      </w:rPr>
    </w:lvl>
    <w:lvl w:ilvl="3" w:tplc="B0D8C35C" w:tentative="1">
      <w:start w:val="1"/>
      <w:numFmt w:val="bullet"/>
      <w:lvlText w:val=""/>
      <w:lvlJc w:val="left"/>
      <w:pPr>
        <w:tabs>
          <w:tab w:val="num" w:pos="2880"/>
        </w:tabs>
        <w:ind w:left="2880" w:hanging="360"/>
      </w:pPr>
      <w:rPr>
        <w:rFonts w:ascii="Wingdings" w:hAnsi="Wingdings" w:hint="default"/>
      </w:rPr>
    </w:lvl>
    <w:lvl w:ilvl="4" w:tplc="48D6C39C" w:tentative="1">
      <w:start w:val="1"/>
      <w:numFmt w:val="bullet"/>
      <w:lvlText w:val=""/>
      <w:lvlJc w:val="left"/>
      <w:pPr>
        <w:tabs>
          <w:tab w:val="num" w:pos="3600"/>
        </w:tabs>
        <w:ind w:left="3600" w:hanging="360"/>
      </w:pPr>
      <w:rPr>
        <w:rFonts w:ascii="Wingdings" w:hAnsi="Wingdings" w:hint="default"/>
      </w:rPr>
    </w:lvl>
    <w:lvl w:ilvl="5" w:tplc="B7CCB282" w:tentative="1">
      <w:start w:val="1"/>
      <w:numFmt w:val="bullet"/>
      <w:lvlText w:val=""/>
      <w:lvlJc w:val="left"/>
      <w:pPr>
        <w:tabs>
          <w:tab w:val="num" w:pos="4320"/>
        </w:tabs>
        <w:ind w:left="4320" w:hanging="360"/>
      </w:pPr>
      <w:rPr>
        <w:rFonts w:ascii="Wingdings" w:hAnsi="Wingdings" w:hint="default"/>
      </w:rPr>
    </w:lvl>
    <w:lvl w:ilvl="6" w:tplc="AC24950A" w:tentative="1">
      <w:start w:val="1"/>
      <w:numFmt w:val="bullet"/>
      <w:lvlText w:val=""/>
      <w:lvlJc w:val="left"/>
      <w:pPr>
        <w:tabs>
          <w:tab w:val="num" w:pos="5040"/>
        </w:tabs>
        <w:ind w:left="5040" w:hanging="360"/>
      </w:pPr>
      <w:rPr>
        <w:rFonts w:ascii="Wingdings" w:hAnsi="Wingdings" w:hint="default"/>
      </w:rPr>
    </w:lvl>
    <w:lvl w:ilvl="7" w:tplc="03B0F54C" w:tentative="1">
      <w:start w:val="1"/>
      <w:numFmt w:val="bullet"/>
      <w:lvlText w:val=""/>
      <w:lvlJc w:val="left"/>
      <w:pPr>
        <w:tabs>
          <w:tab w:val="num" w:pos="5760"/>
        </w:tabs>
        <w:ind w:left="5760" w:hanging="360"/>
      </w:pPr>
      <w:rPr>
        <w:rFonts w:ascii="Wingdings" w:hAnsi="Wingdings" w:hint="default"/>
      </w:rPr>
    </w:lvl>
    <w:lvl w:ilvl="8" w:tplc="296C7448" w:tentative="1">
      <w:start w:val="1"/>
      <w:numFmt w:val="bullet"/>
      <w:lvlText w:val=""/>
      <w:lvlJc w:val="left"/>
      <w:pPr>
        <w:tabs>
          <w:tab w:val="num" w:pos="6480"/>
        </w:tabs>
        <w:ind w:left="6480" w:hanging="360"/>
      </w:pPr>
      <w:rPr>
        <w:rFonts w:ascii="Wingdings" w:hAnsi="Wingdings" w:hint="default"/>
      </w:rPr>
    </w:lvl>
  </w:abstractNum>
  <w:abstractNum w:abstractNumId="16">
    <w:nsid w:val="73CA5E5B"/>
    <w:multiLevelType w:val="hybridMultilevel"/>
    <w:tmpl w:val="2C68F0F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nsid w:val="78342EFF"/>
    <w:multiLevelType w:val="hybridMultilevel"/>
    <w:tmpl w:val="AD2E42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0"/>
  </w:num>
  <w:num w:numId="2">
    <w:abstractNumId w:val="7"/>
  </w:num>
  <w:num w:numId="3">
    <w:abstractNumId w:val="13"/>
  </w:num>
  <w:num w:numId="4">
    <w:abstractNumId w:val="9"/>
  </w:num>
  <w:num w:numId="5">
    <w:abstractNumId w:val="14"/>
  </w:num>
  <w:num w:numId="6">
    <w:abstractNumId w:val="1"/>
  </w:num>
  <w:num w:numId="7">
    <w:abstractNumId w:val="2"/>
  </w:num>
  <w:num w:numId="8">
    <w:abstractNumId w:val="3"/>
  </w:num>
  <w:num w:numId="9">
    <w:abstractNumId w:val="10"/>
  </w:num>
  <w:num w:numId="10">
    <w:abstractNumId w:val="6"/>
  </w:num>
  <w:num w:numId="11">
    <w:abstractNumId w:val="4"/>
  </w:num>
  <w:num w:numId="12">
    <w:abstractNumId w:val="16"/>
  </w:num>
  <w:num w:numId="13">
    <w:abstractNumId w:val="12"/>
  </w:num>
  <w:num w:numId="14">
    <w:abstractNumId w:val="11"/>
  </w:num>
  <w:num w:numId="15">
    <w:abstractNumId w:val="17"/>
  </w:num>
  <w:num w:numId="16">
    <w:abstractNumId w:val="5"/>
  </w:num>
  <w:num w:numId="17">
    <w:abstractNumId w:val="8"/>
  </w:num>
  <w:num w:numId="18">
    <w:abstractNumId w:val="15"/>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stylePaneFormatFilter w:val="3F01"/>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95234"/>
  </w:hdrShapeDefaults>
  <w:footnotePr>
    <w:footnote w:id="0"/>
    <w:footnote w:id="1"/>
  </w:footnotePr>
  <w:endnotePr>
    <w:endnote w:id="0"/>
    <w:endnote w:id="1"/>
  </w:endnotePr>
  <w:compat/>
  <w:rsids>
    <w:rsidRoot w:val="00D21ADE"/>
    <w:rsid w:val="00010733"/>
    <w:rsid w:val="00010A2D"/>
    <w:rsid w:val="00014AD8"/>
    <w:rsid w:val="000302BB"/>
    <w:rsid w:val="00055417"/>
    <w:rsid w:val="0005767F"/>
    <w:rsid w:val="0009298D"/>
    <w:rsid w:val="00094471"/>
    <w:rsid w:val="00095D4D"/>
    <w:rsid w:val="000A1DF9"/>
    <w:rsid w:val="000A6ED0"/>
    <w:rsid w:val="000C2C56"/>
    <w:rsid w:val="000C380F"/>
    <w:rsid w:val="000C4C04"/>
    <w:rsid w:val="000D37E7"/>
    <w:rsid w:val="000D6B8F"/>
    <w:rsid w:val="000F733E"/>
    <w:rsid w:val="001066DB"/>
    <w:rsid w:val="00113DD9"/>
    <w:rsid w:val="0011655F"/>
    <w:rsid w:val="001363BF"/>
    <w:rsid w:val="001371F0"/>
    <w:rsid w:val="00143C97"/>
    <w:rsid w:val="00151E6F"/>
    <w:rsid w:val="00156E87"/>
    <w:rsid w:val="001700A9"/>
    <w:rsid w:val="00174974"/>
    <w:rsid w:val="001A2B65"/>
    <w:rsid w:val="001C293D"/>
    <w:rsid w:val="00207555"/>
    <w:rsid w:val="0024544D"/>
    <w:rsid w:val="00251528"/>
    <w:rsid w:val="00256414"/>
    <w:rsid w:val="002572ED"/>
    <w:rsid w:val="002921E5"/>
    <w:rsid w:val="00292B82"/>
    <w:rsid w:val="002A1A3A"/>
    <w:rsid w:val="002A56A1"/>
    <w:rsid w:val="002A5EAE"/>
    <w:rsid w:val="002A6E86"/>
    <w:rsid w:val="002B411A"/>
    <w:rsid w:val="002C2A32"/>
    <w:rsid w:val="002E0DDE"/>
    <w:rsid w:val="002E26C6"/>
    <w:rsid w:val="002E6149"/>
    <w:rsid w:val="002F2ECB"/>
    <w:rsid w:val="00312D8B"/>
    <w:rsid w:val="003212DE"/>
    <w:rsid w:val="003419CC"/>
    <w:rsid w:val="0034462A"/>
    <w:rsid w:val="003624C2"/>
    <w:rsid w:val="003654F4"/>
    <w:rsid w:val="00366AE5"/>
    <w:rsid w:val="00372884"/>
    <w:rsid w:val="0037452D"/>
    <w:rsid w:val="003768D7"/>
    <w:rsid w:val="00382E39"/>
    <w:rsid w:val="003B4577"/>
    <w:rsid w:val="003C42DD"/>
    <w:rsid w:val="003D2D08"/>
    <w:rsid w:val="003D6941"/>
    <w:rsid w:val="003E22A3"/>
    <w:rsid w:val="003E4062"/>
    <w:rsid w:val="003E7C23"/>
    <w:rsid w:val="00413605"/>
    <w:rsid w:val="00424B02"/>
    <w:rsid w:val="00432526"/>
    <w:rsid w:val="00434210"/>
    <w:rsid w:val="004345F4"/>
    <w:rsid w:val="00442CAE"/>
    <w:rsid w:val="00454201"/>
    <w:rsid w:val="00470F8A"/>
    <w:rsid w:val="0047170D"/>
    <w:rsid w:val="00486A4B"/>
    <w:rsid w:val="00487D28"/>
    <w:rsid w:val="00495872"/>
    <w:rsid w:val="00497F38"/>
    <w:rsid w:val="00497FE9"/>
    <w:rsid w:val="004A596B"/>
    <w:rsid w:val="004B138F"/>
    <w:rsid w:val="004B3272"/>
    <w:rsid w:val="004C1C52"/>
    <w:rsid w:val="004C66F3"/>
    <w:rsid w:val="004D10C9"/>
    <w:rsid w:val="004D119D"/>
    <w:rsid w:val="004D5073"/>
    <w:rsid w:val="004F7BA8"/>
    <w:rsid w:val="005042F3"/>
    <w:rsid w:val="00510B6D"/>
    <w:rsid w:val="00511227"/>
    <w:rsid w:val="005177D1"/>
    <w:rsid w:val="00522B96"/>
    <w:rsid w:val="0052582C"/>
    <w:rsid w:val="00527710"/>
    <w:rsid w:val="00530B55"/>
    <w:rsid w:val="00544974"/>
    <w:rsid w:val="00544E14"/>
    <w:rsid w:val="00560BA0"/>
    <w:rsid w:val="00563A3C"/>
    <w:rsid w:val="00564515"/>
    <w:rsid w:val="00565033"/>
    <w:rsid w:val="0057271B"/>
    <w:rsid w:val="00585C25"/>
    <w:rsid w:val="00586019"/>
    <w:rsid w:val="005942F4"/>
    <w:rsid w:val="005A1DC9"/>
    <w:rsid w:val="005A27EF"/>
    <w:rsid w:val="005A7843"/>
    <w:rsid w:val="005B40E2"/>
    <w:rsid w:val="005B4F2D"/>
    <w:rsid w:val="005D2BF9"/>
    <w:rsid w:val="005D3590"/>
    <w:rsid w:val="005E6E96"/>
    <w:rsid w:val="005F0D22"/>
    <w:rsid w:val="005F247E"/>
    <w:rsid w:val="005F5357"/>
    <w:rsid w:val="005F53B4"/>
    <w:rsid w:val="005F53FF"/>
    <w:rsid w:val="0060109B"/>
    <w:rsid w:val="00601D16"/>
    <w:rsid w:val="00611ABC"/>
    <w:rsid w:val="00616040"/>
    <w:rsid w:val="00621946"/>
    <w:rsid w:val="00630125"/>
    <w:rsid w:val="006636E4"/>
    <w:rsid w:val="00664489"/>
    <w:rsid w:val="0066459A"/>
    <w:rsid w:val="00673BC2"/>
    <w:rsid w:val="0068496F"/>
    <w:rsid w:val="00687F8F"/>
    <w:rsid w:val="006A62B4"/>
    <w:rsid w:val="006A7889"/>
    <w:rsid w:val="006B21AC"/>
    <w:rsid w:val="006C183A"/>
    <w:rsid w:val="006D327D"/>
    <w:rsid w:val="006D6A31"/>
    <w:rsid w:val="006E0652"/>
    <w:rsid w:val="006F0070"/>
    <w:rsid w:val="006F5612"/>
    <w:rsid w:val="007005FA"/>
    <w:rsid w:val="00701E8D"/>
    <w:rsid w:val="00707B7F"/>
    <w:rsid w:val="00766CA7"/>
    <w:rsid w:val="00775273"/>
    <w:rsid w:val="007873C9"/>
    <w:rsid w:val="007A56F0"/>
    <w:rsid w:val="007B6A3B"/>
    <w:rsid w:val="007C5A32"/>
    <w:rsid w:val="007D63F9"/>
    <w:rsid w:val="007D7176"/>
    <w:rsid w:val="007E4866"/>
    <w:rsid w:val="007F0D9C"/>
    <w:rsid w:val="007F15B3"/>
    <w:rsid w:val="007F69E9"/>
    <w:rsid w:val="007F6EA6"/>
    <w:rsid w:val="00805C9C"/>
    <w:rsid w:val="00813F60"/>
    <w:rsid w:val="0081783A"/>
    <w:rsid w:val="008250A4"/>
    <w:rsid w:val="00825FE9"/>
    <w:rsid w:val="0084318E"/>
    <w:rsid w:val="00850A82"/>
    <w:rsid w:val="00870420"/>
    <w:rsid w:val="0087047E"/>
    <w:rsid w:val="0087666E"/>
    <w:rsid w:val="008C4E1A"/>
    <w:rsid w:val="008D49BB"/>
    <w:rsid w:val="008E5C7B"/>
    <w:rsid w:val="009002D0"/>
    <w:rsid w:val="00914397"/>
    <w:rsid w:val="009254FF"/>
    <w:rsid w:val="00927719"/>
    <w:rsid w:val="009352D3"/>
    <w:rsid w:val="00937E7E"/>
    <w:rsid w:val="0095747B"/>
    <w:rsid w:val="00963AE3"/>
    <w:rsid w:val="009708D7"/>
    <w:rsid w:val="009710AF"/>
    <w:rsid w:val="0097680B"/>
    <w:rsid w:val="00986BD9"/>
    <w:rsid w:val="00996E0C"/>
    <w:rsid w:val="009A0048"/>
    <w:rsid w:val="009A14D7"/>
    <w:rsid w:val="009A2A69"/>
    <w:rsid w:val="009B1C61"/>
    <w:rsid w:val="009B5D55"/>
    <w:rsid w:val="009E0A69"/>
    <w:rsid w:val="009E5FE3"/>
    <w:rsid w:val="00A01088"/>
    <w:rsid w:val="00A42C55"/>
    <w:rsid w:val="00A45323"/>
    <w:rsid w:val="00A52134"/>
    <w:rsid w:val="00A53DFD"/>
    <w:rsid w:val="00A64587"/>
    <w:rsid w:val="00A6576C"/>
    <w:rsid w:val="00A82B7F"/>
    <w:rsid w:val="00A92483"/>
    <w:rsid w:val="00A93E2C"/>
    <w:rsid w:val="00A94073"/>
    <w:rsid w:val="00AA7189"/>
    <w:rsid w:val="00AB17A8"/>
    <w:rsid w:val="00AC2BD1"/>
    <w:rsid w:val="00AE5481"/>
    <w:rsid w:val="00AF05F0"/>
    <w:rsid w:val="00AF1065"/>
    <w:rsid w:val="00AF14CD"/>
    <w:rsid w:val="00AF59E6"/>
    <w:rsid w:val="00AF5F5C"/>
    <w:rsid w:val="00B06BE8"/>
    <w:rsid w:val="00B070F0"/>
    <w:rsid w:val="00B13435"/>
    <w:rsid w:val="00B14E8D"/>
    <w:rsid w:val="00B31ED9"/>
    <w:rsid w:val="00B3595A"/>
    <w:rsid w:val="00B37EAB"/>
    <w:rsid w:val="00B43B39"/>
    <w:rsid w:val="00B44C8F"/>
    <w:rsid w:val="00B454C2"/>
    <w:rsid w:val="00B52A70"/>
    <w:rsid w:val="00B640B7"/>
    <w:rsid w:val="00B72D66"/>
    <w:rsid w:val="00B75565"/>
    <w:rsid w:val="00B76CBE"/>
    <w:rsid w:val="00B84FE8"/>
    <w:rsid w:val="00B91D00"/>
    <w:rsid w:val="00B936D2"/>
    <w:rsid w:val="00BA7FD6"/>
    <w:rsid w:val="00BB1A6C"/>
    <w:rsid w:val="00BB756D"/>
    <w:rsid w:val="00BD158E"/>
    <w:rsid w:val="00BF5FD2"/>
    <w:rsid w:val="00C04154"/>
    <w:rsid w:val="00C140A5"/>
    <w:rsid w:val="00C1583F"/>
    <w:rsid w:val="00C211BF"/>
    <w:rsid w:val="00C21CC4"/>
    <w:rsid w:val="00C25404"/>
    <w:rsid w:val="00C27A8D"/>
    <w:rsid w:val="00C5458D"/>
    <w:rsid w:val="00C56D77"/>
    <w:rsid w:val="00C57368"/>
    <w:rsid w:val="00C62EF6"/>
    <w:rsid w:val="00C74B80"/>
    <w:rsid w:val="00C7553E"/>
    <w:rsid w:val="00C76D48"/>
    <w:rsid w:val="00C90045"/>
    <w:rsid w:val="00C93CFA"/>
    <w:rsid w:val="00CA22FC"/>
    <w:rsid w:val="00CC0185"/>
    <w:rsid w:val="00CC5F80"/>
    <w:rsid w:val="00CD2992"/>
    <w:rsid w:val="00D07641"/>
    <w:rsid w:val="00D14A4F"/>
    <w:rsid w:val="00D20979"/>
    <w:rsid w:val="00D21ADE"/>
    <w:rsid w:val="00D2217F"/>
    <w:rsid w:val="00D224DB"/>
    <w:rsid w:val="00D27B84"/>
    <w:rsid w:val="00D3206E"/>
    <w:rsid w:val="00D5479A"/>
    <w:rsid w:val="00D5679A"/>
    <w:rsid w:val="00D70F3C"/>
    <w:rsid w:val="00D87A43"/>
    <w:rsid w:val="00DA0C62"/>
    <w:rsid w:val="00DA3170"/>
    <w:rsid w:val="00DA4E26"/>
    <w:rsid w:val="00DB262B"/>
    <w:rsid w:val="00DB41CE"/>
    <w:rsid w:val="00DB4397"/>
    <w:rsid w:val="00DF07E3"/>
    <w:rsid w:val="00E07788"/>
    <w:rsid w:val="00E15A8A"/>
    <w:rsid w:val="00E25C6F"/>
    <w:rsid w:val="00E27DE5"/>
    <w:rsid w:val="00E32442"/>
    <w:rsid w:val="00E338E2"/>
    <w:rsid w:val="00E4008E"/>
    <w:rsid w:val="00E4023C"/>
    <w:rsid w:val="00E520EF"/>
    <w:rsid w:val="00E66030"/>
    <w:rsid w:val="00E66F02"/>
    <w:rsid w:val="00E71843"/>
    <w:rsid w:val="00E7237D"/>
    <w:rsid w:val="00E7355B"/>
    <w:rsid w:val="00E7591C"/>
    <w:rsid w:val="00E75CF3"/>
    <w:rsid w:val="00E76DF2"/>
    <w:rsid w:val="00E77A1C"/>
    <w:rsid w:val="00E97ECA"/>
    <w:rsid w:val="00EA375E"/>
    <w:rsid w:val="00EA5DB2"/>
    <w:rsid w:val="00EB5C4D"/>
    <w:rsid w:val="00EE0478"/>
    <w:rsid w:val="00EE11E8"/>
    <w:rsid w:val="00EE5137"/>
    <w:rsid w:val="00EE556F"/>
    <w:rsid w:val="00EE60E1"/>
    <w:rsid w:val="00EF38C6"/>
    <w:rsid w:val="00F051F9"/>
    <w:rsid w:val="00F05E47"/>
    <w:rsid w:val="00F11E05"/>
    <w:rsid w:val="00F16BE8"/>
    <w:rsid w:val="00F205E2"/>
    <w:rsid w:val="00F24E32"/>
    <w:rsid w:val="00F32790"/>
    <w:rsid w:val="00F34DEC"/>
    <w:rsid w:val="00F449BF"/>
    <w:rsid w:val="00F46311"/>
    <w:rsid w:val="00F70F06"/>
    <w:rsid w:val="00F71FBF"/>
    <w:rsid w:val="00F75D60"/>
    <w:rsid w:val="00F82127"/>
    <w:rsid w:val="00F87160"/>
    <w:rsid w:val="00FA18B8"/>
    <w:rsid w:val="00FA233A"/>
    <w:rsid w:val="00FA2689"/>
    <w:rsid w:val="00FB46F1"/>
    <w:rsid w:val="00FB48AE"/>
    <w:rsid w:val="00FB58C3"/>
    <w:rsid w:val="00FC5048"/>
    <w:rsid w:val="00FD1376"/>
    <w:rsid w:val="00FE223E"/>
    <w:rsid w:val="00FE69AD"/>
    <w:rsid w:val="00FF1ECD"/>
    <w:rsid w:val="00FF7318"/>
  </w:rsids>
  <m:mathPr>
    <m:mathFont m:val="Cambria Math"/>
    <m:brkBin m:val="before"/>
    <m:brkBinSub m:val="--"/>
    <m:smallFrac m:val="off"/>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Preformatted"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pPr>
      <w:ind w:firstLine="720"/>
      <w:jc w:val="both"/>
    </w:pPr>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jc w:val="left"/>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qFormat/>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uiPriority w:val="99"/>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jc w:val="left"/>
    </w:pPr>
    <w:rPr>
      <w:rFonts w:ascii="Tahoma" w:hAnsi="Tahoma"/>
      <w:sz w:val="20"/>
      <w:lang w:val="en-US"/>
    </w:rPr>
  </w:style>
  <w:style w:type="paragraph" w:customStyle="1" w:styleId="Bodytext">
    <w:name w:val="Body text"/>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jc w:val="left"/>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jc w:val="left"/>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jc w:val="left"/>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jc w:val="left"/>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jc w:val="left"/>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0">
    <w:name w:val="Char Char Diagrama Diagrama Char Char"/>
    <w:basedOn w:val="prastasis"/>
    <w:rsid w:val="00E97ECA"/>
    <w:pPr>
      <w:spacing w:after="160" w:line="240" w:lineRule="exact"/>
      <w:ind w:firstLine="0"/>
      <w:jc w:val="left"/>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jc w:val="left"/>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59"/>
    <w:rsid w:val="00E97ECA"/>
    <w:pPr>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jc w:val="left"/>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left"/>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jc w:val="left"/>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jc w:val="left"/>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jc w:val="left"/>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jc w:val="left"/>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jc w:val="left"/>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0">
    <w:name w:val="Char Char Diagrama Diagrama Char Char Diagrama Diagrama1 Char Char Diagrama Diagrama Char Char Diagrama Diagrama Char Char Diagrama Diagrama Char Char Char Diagrama Char"/>
    <w:basedOn w:val="prastasis"/>
    <w:rsid w:val="00E97ECA"/>
    <w:pPr>
      <w:spacing w:after="160" w:line="240" w:lineRule="exact"/>
      <w:ind w:firstLine="0"/>
      <w:jc w:val="left"/>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jc w:val="left"/>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0">
    <w:name w:val="bodytext"/>
    <w:basedOn w:val="prastasis"/>
    <w:rsid w:val="00E97ECA"/>
    <w:pPr>
      <w:spacing w:before="100" w:beforeAutospacing="1" w:after="100" w:afterAutospacing="1"/>
      <w:ind w:firstLine="0"/>
      <w:jc w:val="left"/>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s>
</file>

<file path=word/webSettings.xml><?xml version="1.0" encoding="utf-8"?>
<w:webSettings xmlns:r="http://schemas.openxmlformats.org/officeDocument/2006/relationships" xmlns:w="http://schemas.openxmlformats.org/wordprocessingml/2006/main">
  <w:divs>
    <w:div w:id="302467009">
      <w:bodyDiv w:val="1"/>
      <w:marLeft w:val="0"/>
      <w:marRight w:val="0"/>
      <w:marTop w:val="0"/>
      <w:marBottom w:val="0"/>
      <w:divBdr>
        <w:top w:val="none" w:sz="0" w:space="0" w:color="auto"/>
        <w:left w:val="none" w:sz="0" w:space="0" w:color="auto"/>
        <w:bottom w:val="none" w:sz="0" w:space="0" w:color="auto"/>
        <w:right w:val="none" w:sz="0" w:space="0" w:color="auto"/>
      </w:divBdr>
    </w:div>
    <w:div w:id="386339879">
      <w:bodyDiv w:val="1"/>
      <w:marLeft w:val="0"/>
      <w:marRight w:val="0"/>
      <w:marTop w:val="0"/>
      <w:marBottom w:val="0"/>
      <w:divBdr>
        <w:top w:val="none" w:sz="0" w:space="0" w:color="auto"/>
        <w:left w:val="none" w:sz="0" w:space="0" w:color="auto"/>
        <w:bottom w:val="none" w:sz="0" w:space="0" w:color="auto"/>
        <w:right w:val="none" w:sz="0" w:space="0" w:color="auto"/>
      </w:divBdr>
      <w:divsChild>
        <w:div w:id="361371019">
          <w:marLeft w:val="547"/>
          <w:marRight w:val="0"/>
          <w:marTop w:val="77"/>
          <w:marBottom w:val="0"/>
          <w:divBdr>
            <w:top w:val="none" w:sz="0" w:space="0" w:color="auto"/>
            <w:left w:val="none" w:sz="0" w:space="0" w:color="auto"/>
            <w:bottom w:val="none" w:sz="0" w:space="0" w:color="auto"/>
            <w:right w:val="none" w:sz="0" w:space="0" w:color="auto"/>
          </w:divBdr>
        </w:div>
        <w:div w:id="234751998">
          <w:marLeft w:val="547"/>
          <w:marRight w:val="0"/>
          <w:marTop w:val="77"/>
          <w:marBottom w:val="0"/>
          <w:divBdr>
            <w:top w:val="none" w:sz="0" w:space="0" w:color="auto"/>
            <w:left w:val="none" w:sz="0" w:space="0" w:color="auto"/>
            <w:bottom w:val="none" w:sz="0" w:space="0" w:color="auto"/>
            <w:right w:val="none" w:sz="0" w:space="0" w:color="auto"/>
          </w:divBdr>
        </w:div>
      </w:divsChild>
    </w:div>
    <w:div w:id="456145967">
      <w:bodyDiv w:val="1"/>
      <w:marLeft w:val="0"/>
      <w:marRight w:val="0"/>
      <w:marTop w:val="0"/>
      <w:marBottom w:val="0"/>
      <w:divBdr>
        <w:top w:val="none" w:sz="0" w:space="0" w:color="auto"/>
        <w:left w:val="none" w:sz="0" w:space="0" w:color="auto"/>
        <w:bottom w:val="none" w:sz="0" w:space="0" w:color="auto"/>
        <w:right w:val="none" w:sz="0" w:space="0" w:color="auto"/>
      </w:divBdr>
      <w:divsChild>
        <w:div w:id="948587663">
          <w:marLeft w:val="0"/>
          <w:marRight w:val="0"/>
          <w:marTop w:val="0"/>
          <w:marBottom w:val="0"/>
          <w:divBdr>
            <w:top w:val="none" w:sz="0" w:space="0" w:color="auto"/>
            <w:left w:val="none" w:sz="0" w:space="0" w:color="auto"/>
            <w:bottom w:val="none" w:sz="0" w:space="0" w:color="auto"/>
            <w:right w:val="none" w:sz="0" w:space="0" w:color="auto"/>
          </w:divBdr>
          <w:divsChild>
            <w:div w:id="891624658">
              <w:marLeft w:val="0"/>
              <w:marRight w:val="0"/>
              <w:marTop w:val="0"/>
              <w:marBottom w:val="0"/>
              <w:divBdr>
                <w:top w:val="none" w:sz="0" w:space="0" w:color="auto"/>
                <w:left w:val="none" w:sz="0" w:space="0" w:color="auto"/>
                <w:bottom w:val="none" w:sz="0" w:space="0" w:color="auto"/>
                <w:right w:val="none" w:sz="0" w:space="0" w:color="auto"/>
              </w:divBdr>
              <w:divsChild>
                <w:div w:id="28639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212981">
      <w:bodyDiv w:val="1"/>
      <w:marLeft w:val="0"/>
      <w:marRight w:val="0"/>
      <w:marTop w:val="0"/>
      <w:marBottom w:val="0"/>
      <w:divBdr>
        <w:top w:val="none" w:sz="0" w:space="0" w:color="auto"/>
        <w:left w:val="none" w:sz="0" w:space="0" w:color="auto"/>
        <w:bottom w:val="none" w:sz="0" w:space="0" w:color="auto"/>
        <w:right w:val="none" w:sz="0" w:space="0" w:color="auto"/>
      </w:divBdr>
      <w:divsChild>
        <w:div w:id="949362181">
          <w:marLeft w:val="547"/>
          <w:marRight w:val="0"/>
          <w:marTop w:val="86"/>
          <w:marBottom w:val="0"/>
          <w:divBdr>
            <w:top w:val="none" w:sz="0" w:space="0" w:color="auto"/>
            <w:left w:val="none" w:sz="0" w:space="0" w:color="auto"/>
            <w:bottom w:val="none" w:sz="0" w:space="0" w:color="auto"/>
            <w:right w:val="none" w:sz="0" w:space="0" w:color="auto"/>
          </w:divBdr>
        </w:div>
        <w:div w:id="1012955253">
          <w:marLeft w:val="547"/>
          <w:marRight w:val="0"/>
          <w:marTop w:val="86"/>
          <w:marBottom w:val="0"/>
          <w:divBdr>
            <w:top w:val="none" w:sz="0" w:space="0" w:color="auto"/>
            <w:left w:val="none" w:sz="0" w:space="0" w:color="auto"/>
            <w:bottom w:val="none" w:sz="0" w:space="0" w:color="auto"/>
            <w:right w:val="none" w:sz="0" w:space="0" w:color="auto"/>
          </w:divBdr>
        </w:div>
      </w:divsChild>
    </w:div>
    <w:div w:id="1335768904">
      <w:bodyDiv w:val="1"/>
      <w:marLeft w:val="0"/>
      <w:marRight w:val="0"/>
      <w:marTop w:val="0"/>
      <w:marBottom w:val="0"/>
      <w:divBdr>
        <w:top w:val="none" w:sz="0" w:space="0" w:color="auto"/>
        <w:left w:val="none" w:sz="0" w:space="0" w:color="auto"/>
        <w:bottom w:val="none" w:sz="0" w:space="0" w:color="auto"/>
        <w:right w:val="none" w:sz="0" w:space="0" w:color="auto"/>
      </w:divBdr>
    </w:div>
    <w:div w:id="1599949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chart" Target="charts/chart5.xml"/><Relationship Id="rId42" Type="http://schemas.openxmlformats.org/officeDocument/2006/relationships/chart" Target="charts/chart25.xml"/><Relationship Id="rId47" Type="http://schemas.openxmlformats.org/officeDocument/2006/relationships/chart" Target="charts/chart30.xml"/><Relationship Id="rId63" Type="http://schemas.openxmlformats.org/officeDocument/2006/relationships/chart" Target="charts/chart46.xml"/><Relationship Id="rId68" Type="http://schemas.openxmlformats.org/officeDocument/2006/relationships/diagramQuickStyle" Target="diagrams/quickStyle2.xml"/><Relationship Id="rId84" Type="http://schemas.openxmlformats.org/officeDocument/2006/relationships/chart" Target="charts/chart63.xml"/><Relationship Id="rId89" Type="http://schemas.openxmlformats.org/officeDocument/2006/relationships/image" Target="media/image17.emf"/><Relationship Id="rId7" Type="http://schemas.openxmlformats.org/officeDocument/2006/relationships/endnotes" Target="endnotes.xml"/><Relationship Id="rId71" Type="http://schemas.openxmlformats.org/officeDocument/2006/relationships/chart" Target="charts/chart50.xml"/><Relationship Id="rId92" Type="http://schemas.openxmlformats.org/officeDocument/2006/relationships/chart" Target="charts/chart65.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chart" Target="charts/chart12.xml"/><Relationship Id="rId107" Type="http://schemas.openxmlformats.org/officeDocument/2006/relationships/fontTable" Target="fontTable.xml"/><Relationship Id="rId11" Type="http://schemas.openxmlformats.org/officeDocument/2006/relationships/diagramQuickStyle" Target="diagrams/quickStyle1.xml"/><Relationship Id="rId24" Type="http://schemas.openxmlformats.org/officeDocument/2006/relationships/chart" Target="charts/chart8.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66" Type="http://schemas.openxmlformats.org/officeDocument/2006/relationships/diagramData" Target="diagrams/data2.xml"/><Relationship Id="rId74" Type="http://schemas.openxmlformats.org/officeDocument/2006/relationships/chart" Target="charts/chart53.xml"/><Relationship Id="rId79" Type="http://schemas.openxmlformats.org/officeDocument/2006/relationships/chart" Target="charts/chart58.xml"/><Relationship Id="rId87" Type="http://schemas.openxmlformats.org/officeDocument/2006/relationships/image" Target="media/image15.emf"/><Relationship Id="rId102" Type="http://schemas.openxmlformats.org/officeDocument/2006/relationships/hyperlink" Target="http://www.rietavovic.lt" TargetMode="External"/><Relationship Id="rId5" Type="http://schemas.openxmlformats.org/officeDocument/2006/relationships/webSettings" Target="webSettings.xml"/><Relationship Id="rId61" Type="http://schemas.openxmlformats.org/officeDocument/2006/relationships/chart" Target="charts/chart44.xml"/><Relationship Id="rId82" Type="http://schemas.openxmlformats.org/officeDocument/2006/relationships/chart" Target="charts/chart61.xml"/><Relationship Id="rId90" Type="http://schemas.openxmlformats.org/officeDocument/2006/relationships/image" Target="media/image18.emf"/><Relationship Id="rId95" Type="http://schemas.openxmlformats.org/officeDocument/2006/relationships/chart" Target="charts/chart68.xml"/><Relationship Id="rId19" Type="http://schemas.openxmlformats.org/officeDocument/2006/relationships/chart" Target="charts/chart3.xml"/><Relationship Id="rId14" Type="http://schemas.openxmlformats.org/officeDocument/2006/relationships/image" Target="media/image3.png"/><Relationship Id="rId22" Type="http://schemas.openxmlformats.org/officeDocument/2006/relationships/chart" Target="charts/chart6.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chart" Target="charts/chart47.xml"/><Relationship Id="rId69" Type="http://schemas.openxmlformats.org/officeDocument/2006/relationships/diagramColors" Target="diagrams/colors2.xml"/><Relationship Id="rId77" Type="http://schemas.openxmlformats.org/officeDocument/2006/relationships/chart" Target="charts/chart56.xml"/><Relationship Id="rId100" Type="http://schemas.openxmlformats.org/officeDocument/2006/relationships/hyperlink" Target="http://www.veik.rietave.lt" TargetMode="External"/><Relationship Id="rId105"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chart" Target="charts/chart34.xml"/><Relationship Id="rId72" Type="http://schemas.openxmlformats.org/officeDocument/2006/relationships/chart" Target="charts/chart51.xml"/><Relationship Id="rId80" Type="http://schemas.openxmlformats.org/officeDocument/2006/relationships/chart" Target="charts/chart59.xml"/><Relationship Id="rId85" Type="http://schemas.openxmlformats.org/officeDocument/2006/relationships/image" Target="media/image13.emf"/><Relationship Id="rId93" Type="http://schemas.openxmlformats.org/officeDocument/2006/relationships/chart" Target="charts/chart66.xml"/><Relationship Id="rId98" Type="http://schemas.openxmlformats.org/officeDocument/2006/relationships/chart" Target="charts/chart71.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chart" Target="charts/chart29.xml"/><Relationship Id="rId59" Type="http://schemas.openxmlformats.org/officeDocument/2006/relationships/chart" Target="charts/chart42.xml"/><Relationship Id="rId67" Type="http://schemas.openxmlformats.org/officeDocument/2006/relationships/diagramLayout" Target="diagrams/layout2.xml"/><Relationship Id="rId103" Type="http://schemas.openxmlformats.org/officeDocument/2006/relationships/hyperlink" Target="http://www.veik.rietave.lt" TargetMode="External"/><Relationship Id="rId108" Type="http://schemas.openxmlformats.org/officeDocument/2006/relationships/theme" Target="theme/theme1.xml"/><Relationship Id="rId20" Type="http://schemas.openxmlformats.org/officeDocument/2006/relationships/chart" Target="charts/chart4.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chart" Target="charts/chart45.xml"/><Relationship Id="rId70" Type="http://schemas.openxmlformats.org/officeDocument/2006/relationships/chart" Target="charts/chart49.xml"/><Relationship Id="rId75" Type="http://schemas.openxmlformats.org/officeDocument/2006/relationships/chart" Target="charts/chart54.xml"/><Relationship Id="rId83" Type="http://schemas.openxmlformats.org/officeDocument/2006/relationships/chart" Target="charts/chart62.xml"/><Relationship Id="rId88" Type="http://schemas.openxmlformats.org/officeDocument/2006/relationships/image" Target="media/image16.emf"/><Relationship Id="rId91" Type="http://schemas.openxmlformats.org/officeDocument/2006/relationships/chart" Target="charts/chart64.xml"/><Relationship Id="rId96" Type="http://schemas.openxmlformats.org/officeDocument/2006/relationships/chart" Target="charts/chart6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chart" Target="charts/chart7.xml"/><Relationship Id="rId28" Type="http://schemas.openxmlformats.org/officeDocument/2006/relationships/chart" Target="charts/chart11.xml"/><Relationship Id="rId36" Type="http://schemas.openxmlformats.org/officeDocument/2006/relationships/chart" Target="charts/chart19.xml"/><Relationship Id="rId49" Type="http://schemas.openxmlformats.org/officeDocument/2006/relationships/chart" Target="charts/chart32.xml"/><Relationship Id="rId57" Type="http://schemas.openxmlformats.org/officeDocument/2006/relationships/chart" Target="charts/chart40.xml"/><Relationship Id="rId106" Type="http://schemas.openxmlformats.org/officeDocument/2006/relationships/footer" Target="footer1.xml"/><Relationship Id="rId10" Type="http://schemas.openxmlformats.org/officeDocument/2006/relationships/diagramLayout" Target="diagrams/layout1.xml"/><Relationship Id="rId31" Type="http://schemas.openxmlformats.org/officeDocument/2006/relationships/chart" Target="charts/chart14.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chart" Target="charts/chart48.xml"/><Relationship Id="rId73" Type="http://schemas.openxmlformats.org/officeDocument/2006/relationships/chart" Target="charts/chart52.xml"/><Relationship Id="rId78" Type="http://schemas.openxmlformats.org/officeDocument/2006/relationships/chart" Target="charts/chart57.xml"/><Relationship Id="rId81" Type="http://schemas.openxmlformats.org/officeDocument/2006/relationships/chart" Target="charts/chart60.xml"/><Relationship Id="rId86" Type="http://schemas.openxmlformats.org/officeDocument/2006/relationships/image" Target="media/image14.emf"/><Relationship Id="rId94" Type="http://schemas.openxmlformats.org/officeDocument/2006/relationships/chart" Target="charts/chart67.xml"/><Relationship Id="rId99" Type="http://schemas.openxmlformats.org/officeDocument/2006/relationships/chart" Target="charts/chart72.xml"/><Relationship Id="rId101" Type="http://schemas.openxmlformats.org/officeDocument/2006/relationships/hyperlink" Target="http://www.rietavovic.lt/lt/amatu-centras" TargetMode="External"/><Relationship Id="rId4" Type="http://schemas.openxmlformats.org/officeDocument/2006/relationships/settings" Target="settings.xml"/><Relationship Id="rId9" Type="http://schemas.openxmlformats.org/officeDocument/2006/relationships/diagramData" Target="diagrams/data1.xml"/><Relationship Id="rId13" Type="http://schemas.openxmlformats.org/officeDocument/2006/relationships/image" Target="media/image2.png"/><Relationship Id="rId18" Type="http://schemas.openxmlformats.org/officeDocument/2006/relationships/chart" Target="charts/chart2.xml"/><Relationship Id="rId39" Type="http://schemas.openxmlformats.org/officeDocument/2006/relationships/chart" Target="charts/chart22.xml"/><Relationship Id="rId34" Type="http://schemas.openxmlformats.org/officeDocument/2006/relationships/chart" Target="charts/chart17.xml"/><Relationship Id="rId50" Type="http://schemas.openxmlformats.org/officeDocument/2006/relationships/chart" Target="charts/chart33.xml"/><Relationship Id="rId55" Type="http://schemas.openxmlformats.org/officeDocument/2006/relationships/chart" Target="charts/chart38.xml"/><Relationship Id="rId76" Type="http://schemas.openxmlformats.org/officeDocument/2006/relationships/chart" Target="charts/chart55.xml"/><Relationship Id="rId97" Type="http://schemas.openxmlformats.org/officeDocument/2006/relationships/chart" Target="charts/chart70.xml"/><Relationship Id="rId104"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User\Desktop\Mero%20ataskaita%20u&#382;%202015%20m\Diagramos%202015%20m..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2015%20m\2015%20m.%20biud&#382;etas\2015%20m.%20biud&#382;etas\2015%20m.%20ataskaitos\2015%20m.%20mero%20ataskaitos\2015%20m.%20merui-atask%20(mano)\2015%20m.%20papild.%20med&#382;..xls" TargetMode="Externa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Documents%20and%20Settings\User\Desktop\Mero%20ataskaita%20u&#382;%202015%20m\Diagramos%202015%20m..xls" TargetMode="External"/><Relationship Id="rId1" Type="http://schemas.openxmlformats.org/officeDocument/2006/relationships/image" Target="../media/image7.jpeg"/></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User\Desktop\Mero%20ataskaita%20u&#382;%202015%20m\Antra%20diagrama%202015%20m..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Desktop\2015%20m\2015%20m.%20biud&#382;etas\2015%20m.%20biud&#382;etas\2015%20m.%20ataskaitos\2015%20m.%20mero%20ataskaitos\2015%20m.%20merui-atask%20(mano)\2015%20m.%20papild.%20med&#382;..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User\Desktop\mero%20ataskaita%202015\Kopija%20Knyga1-1.xlsx" TargetMode="External"/></Relationships>
</file>

<file path=word/charts/_rels/chart16.xml.rels><?xml version="1.0" encoding="UTF-8" standalone="yes"?>
<Relationships xmlns="http://schemas.openxmlformats.org/package/2006/relationships"><Relationship Id="rId2" Type="http://schemas.openxmlformats.org/officeDocument/2006/relationships/oleObject" Target="file:///C:\Users\User\Desktop\mero%20ataskaita%202015\Kopija%20Knyga1-1.xlsx" TargetMode="External"/><Relationship Id="rId1" Type="http://schemas.openxmlformats.org/officeDocument/2006/relationships/image" Target="../media/image8.jpeg"/></Relationships>
</file>

<file path=word/charts/_rels/chart17.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image" Target="../media/image10.jpeg"/><Relationship Id="rId1" Type="http://schemas.openxmlformats.org/officeDocument/2006/relationships/image" Target="../media/image9.jpeg"/><Relationship Id="rId4" Type="http://schemas.openxmlformats.org/officeDocument/2006/relationships/oleObject" Target="file:///C:\Users\User\Desktop\mero%20ataskaita%202015\Kopija%20Knyga1-1.xlsx"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C:\Users\User\Desktop\mero%20ataskaita%202015\bustas%202015.xls" TargetMode="External"/><Relationship Id="rId1" Type="http://schemas.openxmlformats.org/officeDocument/2006/relationships/image" Target="../media/image12.jpeg"/></Relationships>
</file>

<file path=word/charts/_rels/chart19.xml.rels><?xml version="1.0" encoding="UTF-8" standalone="yes"?>
<Relationships xmlns="http://schemas.openxmlformats.org/package/2006/relationships"><Relationship Id="rId2" Type="http://schemas.openxmlformats.org/officeDocument/2006/relationships/oleObject" Target="file:///C:\Users\User\Desktop\mero%20ataskaita%202015\bustas%202015.xls" TargetMode="External"/><Relationship Id="rId1" Type="http://schemas.openxmlformats.org/officeDocument/2006/relationships/image" Target="../media/image7.jpeg"/></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User\Desktop\mero%20ataskaita%202015\bustas%202015.xls" TargetMode="External"/><Relationship Id="rId1" Type="http://schemas.openxmlformats.org/officeDocument/2006/relationships/image" Target="../media/image12.jpeg"/></Relationships>
</file>

<file path=word/charts/_rels/chart21.xml.rels><?xml version="1.0" encoding="UTF-8" standalone="yes"?>
<Relationships xmlns="http://schemas.openxmlformats.org/package/2006/relationships"><Relationship Id="rId1" Type="http://schemas.openxmlformats.org/officeDocument/2006/relationships/oleObject" Target="file:///C:\Users\User\Desktop\mero%20ataskaita%202015\verslas%20ir%20&#382;&#363;%202015.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User\Desktop\mero%20ataskaita%202015\verslas%20ir%20&#382;&#363;%202015.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Desktop\Mero%20ir%20direktoriaus%20ataskaitoms\Ataskaitoms%20lenteles-2010-2011.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Desktop\Mero%20ir%20direktoriaus%20ataskaitoms\Ataskaitoms%20lenteles-2010-2011.xls"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E:\Desktop\Mero%20ir%20direktoriaus%20ataskaitoms\Ataskaitoms%20lenteles-2010-2011.xls"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E:\Desktop\Mero%20ir%20direktoriaus%20ataskaitoms\Ataskaitoms%20lenteles-2010-2011.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E:\Desktop\Mero%20ir%20direktoriaus%20ataskaitoms\Ataskaitoms%20lenteles-2010-2011.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E:\Desktop\Mero%20ir%20direktoriaus%20ataskaitoms\Ataskaitoms%20lenteles-2010-2011.xls" TargetMode="Externa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2.xml"/></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3.xm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Office_Excel_Worksheet13.xlsx"/><Relationship Id="rId1" Type="http://schemas.openxmlformats.org/officeDocument/2006/relationships/themeOverride" Target="../theme/themeOverride4.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Office_Excel_Worksheet14.xlsx"/><Relationship Id="rId1" Type="http://schemas.openxmlformats.org/officeDocument/2006/relationships/themeOverride" Target="../theme/themeOverride5.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6.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7.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Office_Excel_Worksheet17.xlsx"/><Relationship Id="rId1" Type="http://schemas.openxmlformats.org/officeDocument/2006/relationships/themeOverride" Target="../theme/themeOverride8.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9.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Office_Excel_Worksheet19.xlsx"/><Relationship Id="rId1" Type="http://schemas.openxmlformats.org/officeDocument/2006/relationships/themeOverride" Target="../theme/themeOverride10.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11.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12.xml"/></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57.xml.rels><?xml version="1.0" encoding="UTF-8" standalone="yes"?>
<Relationships xmlns="http://schemas.openxmlformats.org/package/2006/relationships"><Relationship Id="rId1" Type="http://schemas.openxmlformats.org/officeDocument/2006/relationships/oleObject" Target="file:///C:\Documents%20and%20Settings\User\My%20Documents\dokumentai\ataskaita%20merui\mero%20ataskaitai1.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Documents%20and%20Settings\User\My%20Documents\ataskaitos-statistika\gyventoj&#371;%20skai&#269;ius%20savivaldyb&#279;je.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User\Desktop\ataskaita%20u&#382;%202015%20m.%20vadov&#371;%20atestacija.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60.xml.rels><?xml version="1.0" encoding="UTF-8" standalone="yes"?>
<Relationships xmlns="http://schemas.openxmlformats.org/package/2006/relationships"><Relationship Id="rId1" Type="http://schemas.openxmlformats.org/officeDocument/2006/relationships/oleObject" Target="file:///C:\Users\User\Desktop\My%20Documents\EGZAMINAI\EGZAMINAI%202015\rezultatai\VBE%202015.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User\Desktop\My%20Documents\EGZAMINAI\EGZAMINAI%202015\rezultatai\VBE%202015.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User\Desktop\My%20Documents\EGZAMINAI\EGZAMINAI%202015\rezultatai\PUPP%202015.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User\Desktop\My%20Documents\EGZAMINAI\EGZAMINAI%202015\rezultatai\PUPP%202015.xls" TargetMode="External"/></Relationships>
</file>

<file path=word/charts/_rels/chart64.xml.rels><?xml version="1.0" encoding="UTF-8" standalone="yes"?>
<Relationships xmlns="http://schemas.openxmlformats.org/package/2006/relationships"><Relationship Id="rId1" Type="http://schemas.openxmlformats.org/officeDocument/2006/relationships/package" Target="../embeddings/Microsoft_Office_Excel_Worksheet35.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Microsoft_Office_Excel_Worksheet36.xlsx"/></Relationships>
</file>

<file path=word/charts/_rels/chart66.xml.rels><?xml version="1.0" encoding="UTF-8" standalone="yes"?>
<Relationships xmlns="http://schemas.openxmlformats.org/package/2006/relationships"><Relationship Id="rId1" Type="http://schemas.openxmlformats.org/officeDocument/2006/relationships/oleObject" Target="file:///\\server\a.rojus\Dokumentai\DOKUMENTAI%20IS%20D%20DISKO\Metines%20atasksaitos\2015%20ataskaita\Silum%20Pristatymui%202015.xlsx" TargetMode="External"/></Relationships>
</file>

<file path=word/charts/_rels/chart67.xml.rels><?xml version="1.0" encoding="UTF-8" standalone="yes"?>
<Relationships xmlns="http://schemas.openxmlformats.org/package/2006/relationships"><Relationship Id="rId2" Type="http://schemas.openxmlformats.org/officeDocument/2006/relationships/oleObject" Target="file:///\\server\a.rojus\Dokumentai\DOKUMENTAI%20IS%20D%20DISKO\Metines%20atasksaitos\2015%20ataskaita\Vand%20Pristatymui%202015.xlsx" TargetMode="External"/><Relationship Id="rId1" Type="http://schemas.openxmlformats.org/officeDocument/2006/relationships/image" Target="../media/image19.jpeg"/></Relationships>
</file>

<file path=word/charts/_rels/chart68.xml.rels><?xml version="1.0" encoding="UTF-8" standalone="yes"?>
<Relationships xmlns="http://schemas.openxmlformats.org/package/2006/relationships"><Relationship Id="rId2" Type="http://schemas.openxmlformats.org/officeDocument/2006/relationships/oleObject" Target="file:///\\server\a.rojus\Dokumentai\DOKUMENTAI%20IS%20D%20DISKO\Metines%20atasksaitos\2015%20ataskaita\Vand%20Pristatymui%202015.xlsx" TargetMode="External"/><Relationship Id="rId1" Type="http://schemas.openxmlformats.org/officeDocument/2006/relationships/image" Target="../media/image8.jpeg"/></Relationships>
</file>

<file path=word/charts/_rels/chart69.xml.rels><?xml version="1.0" encoding="UTF-8" standalone="yes"?>
<Relationships xmlns="http://schemas.openxmlformats.org/package/2006/relationships"><Relationship Id="rId1" Type="http://schemas.openxmlformats.org/officeDocument/2006/relationships/package" Target="../embeddings/Microsoft_Office_Excel_Worksheet37.xlsx"/></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User\Desktop\Mero%20ataskaita%20u&#382;%202015%20m\Diagramos%202015%20m..xls" TargetMode="External"/></Relationships>
</file>

<file path=word/charts/_rels/chart70.xml.rels><?xml version="1.0" encoding="UTF-8" standalone="yes"?>
<Relationships xmlns="http://schemas.openxmlformats.org/package/2006/relationships"><Relationship Id="rId1" Type="http://schemas.openxmlformats.org/officeDocument/2006/relationships/package" Target="../embeddings/Microsoft_Office_Excel_Worksheet38.xlsx"/></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Office_Excel_Worksheet39.xlsx"/><Relationship Id="rId1" Type="http://schemas.openxmlformats.org/officeDocument/2006/relationships/image" Target="../media/image8.jpeg"/></Relationships>
</file>

<file path=word/charts/_rels/chart72.xml.rels><?xml version="1.0" encoding="UTF-8" standalone="yes"?>
<Relationships xmlns="http://schemas.openxmlformats.org/package/2006/relationships"><Relationship Id="rId1" Type="http://schemas.openxmlformats.org/officeDocument/2006/relationships/package" Target="../embeddings/Microsoft_Office_Excel_Worksheet40.xlsx"/></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2015%20m\2015%20m.%20biud&#382;etas\2015%20m.%20biud&#382;etas\2015%20m.%20ataskaitos\2015%20m.%20mero%20ataskaitos\2015%20m.%20merui-atask%20(mano)\2015%20m.%20papild.%20med&#382;..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User\Desktop\Mero%20ataskaita%20u&#382;%202015%20m\Diagramos%202015%20m..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950" b="1" i="0" u="none" strike="noStrike" baseline="0">
                <a:solidFill>
                  <a:srgbClr val="000000"/>
                </a:solidFill>
                <a:latin typeface="Times New Roman"/>
                <a:ea typeface="Times New Roman"/>
                <a:cs typeface="Times New Roman"/>
              </a:defRPr>
            </a:pPr>
            <a:r>
              <a:rPr lang="lt-LT" sz="1400"/>
              <a:t>Gimstamumas</a:t>
            </a:r>
          </a:p>
        </c:rich>
      </c:tx>
      <c:layout>
        <c:manualLayout>
          <c:xMode val="edge"/>
          <c:yMode val="edge"/>
          <c:x val="0.41336116910230036"/>
          <c:y val="2.0833333333333492E-2"/>
        </c:manualLayout>
      </c:layout>
      <c:spPr>
        <a:noFill/>
        <a:ln w="25400">
          <a:noFill/>
        </a:ln>
      </c:spPr>
    </c:title>
    <c:plotArea>
      <c:layout>
        <c:manualLayout>
          <c:layoutTarget val="inner"/>
          <c:xMode val="edge"/>
          <c:yMode val="edge"/>
          <c:x val="7.9331941544885917E-2"/>
          <c:y val="0.23214285714285721"/>
          <c:w val="0.89979123173277864"/>
          <c:h val="0.61011904761905333"/>
        </c:manualLayout>
      </c:layout>
      <c:barChart>
        <c:barDir val="col"/>
        <c:grouping val="clustered"/>
        <c:ser>
          <c:idx val="0"/>
          <c:order val="0"/>
          <c:tx>
            <c:strRef>
              <c:f>Sheet1!$A$2</c:f>
              <c:strCache>
                <c:ptCount val="1"/>
                <c:pt idx="0">
                  <c:v>Gimimai</c:v>
                </c:pt>
              </c:strCache>
            </c:strRef>
          </c:tx>
          <c:spPr>
            <a:solidFill>
              <a:srgbClr val="9999FF"/>
            </a:solidFill>
            <a:ln w="12700">
              <a:solidFill>
                <a:srgbClr val="000000"/>
              </a:solidFill>
              <a:prstDash val="solid"/>
            </a:ln>
          </c:spPr>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Sheet1!$B$2:$D$2</c:f>
              <c:numCache>
                <c:formatCode>General</c:formatCode>
                <c:ptCount val="3"/>
                <c:pt idx="0">
                  <c:v>99</c:v>
                </c:pt>
                <c:pt idx="1">
                  <c:v>82</c:v>
                </c:pt>
                <c:pt idx="2">
                  <c:v>93</c:v>
                </c:pt>
              </c:numCache>
            </c:numRef>
          </c:val>
        </c:ser>
        <c:ser>
          <c:idx val="1"/>
          <c:order val="1"/>
          <c:tx>
            <c:strRef>
              <c:f>Sheet1!$A$3</c:f>
              <c:strCache>
                <c:ptCount val="1"/>
                <c:pt idx="0">
                  <c:v>Berniukai</c:v>
                </c:pt>
              </c:strCache>
            </c:strRef>
          </c:tx>
          <c:spPr>
            <a:solidFill>
              <a:srgbClr val="993366"/>
            </a:solidFill>
            <a:ln w="12700">
              <a:solidFill>
                <a:srgbClr val="000000"/>
              </a:solidFill>
              <a:prstDash val="solid"/>
            </a:ln>
          </c:spPr>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Sheet1!$B$3:$D$3</c:f>
              <c:numCache>
                <c:formatCode>General</c:formatCode>
                <c:ptCount val="3"/>
                <c:pt idx="0">
                  <c:v>50</c:v>
                </c:pt>
                <c:pt idx="1">
                  <c:v>44</c:v>
                </c:pt>
                <c:pt idx="2">
                  <c:v>51</c:v>
                </c:pt>
              </c:numCache>
            </c:numRef>
          </c:val>
        </c:ser>
        <c:ser>
          <c:idx val="2"/>
          <c:order val="2"/>
          <c:tx>
            <c:strRef>
              <c:f>Sheet1!$A$4</c:f>
              <c:strCache>
                <c:ptCount val="1"/>
                <c:pt idx="0">
                  <c:v>Mergaitės</c:v>
                </c:pt>
              </c:strCache>
            </c:strRef>
          </c:tx>
          <c:spPr>
            <a:solidFill>
              <a:srgbClr val="FFFFCC"/>
            </a:solidFill>
            <a:ln w="12700">
              <a:solidFill>
                <a:srgbClr val="000000"/>
              </a:solidFill>
              <a:prstDash val="solid"/>
            </a:ln>
          </c:spPr>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Sheet1!$B$4:$D$4</c:f>
              <c:numCache>
                <c:formatCode>General</c:formatCode>
                <c:ptCount val="3"/>
                <c:pt idx="0">
                  <c:v>49</c:v>
                </c:pt>
                <c:pt idx="1">
                  <c:v>38</c:v>
                </c:pt>
                <c:pt idx="2">
                  <c:v>42</c:v>
                </c:pt>
              </c:numCache>
            </c:numRef>
          </c:val>
        </c:ser>
        <c:dLbls>
          <c:showVal val="1"/>
        </c:dLbls>
        <c:axId val="168583936"/>
        <c:axId val="168585856"/>
      </c:barChart>
      <c:catAx>
        <c:axId val="168583936"/>
        <c:scaling>
          <c:orientation val="minMax"/>
        </c:scaling>
        <c:axPos val="b"/>
        <c:title>
          <c:tx>
            <c:rich>
              <a:bodyPr/>
              <a:lstStyle/>
              <a:p>
                <a:pPr>
                  <a:defRPr sz="8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269311064718163"/>
              <c:y val="0.91369047619048782"/>
            </c:manualLayout>
          </c:layout>
          <c:spPr>
            <a:noFill/>
            <a:ln w="25400">
              <a:noFill/>
            </a:ln>
          </c:spPr>
        </c:title>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68585856"/>
        <c:crosses val="autoZero"/>
        <c:auto val="1"/>
        <c:lblAlgn val="ctr"/>
        <c:lblOffset val="100"/>
        <c:tickLblSkip val="1"/>
        <c:tickMarkSkip val="1"/>
      </c:catAx>
      <c:valAx>
        <c:axId val="16858585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68583936"/>
        <c:crosses val="autoZero"/>
        <c:crossBetween val="between"/>
        <c:majorUnit val="10"/>
        <c:minorUnit val="1"/>
      </c:valAx>
      <c:spPr>
        <a:solidFill>
          <a:srgbClr val="FFFFFF"/>
        </a:solidFill>
        <a:ln w="12700">
          <a:solidFill>
            <a:srgbClr val="808080"/>
          </a:solidFill>
          <a:prstDash val="solid"/>
        </a:ln>
      </c:spPr>
    </c:plotArea>
    <c:legend>
      <c:legendPos val="t"/>
      <c:layout>
        <c:manualLayout>
          <c:xMode val="edge"/>
          <c:yMode val="edge"/>
          <c:x val="0.31732776617954844"/>
          <c:y val="0.11607142857142869"/>
          <c:w val="0.42379958246346555"/>
          <c:h val="5.6547619047619103E-2"/>
        </c:manualLayout>
      </c:layout>
      <c:spPr>
        <a:no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1200" b="1" i="0" u="none" strike="noStrike" baseline="0">
          <a:solidFill>
            <a:srgbClr val="000000"/>
          </a:solidFill>
          <a:latin typeface="Arial"/>
          <a:ea typeface="Arial"/>
          <a:cs typeface="Arial"/>
        </a:defRPr>
      </a:pPr>
      <a:endParaRPr lang="lt-LT"/>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a:latin typeface="Times New Roman" pitchFamily="18" charset="0"/>
                <a:cs typeface="Times New Roman" pitchFamily="18" charset="0"/>
              </a:defRPr>
            </a:pPr>
            <a:r>
              <a:rPr lang="lt-LT" sz="1200">
                <a:latin typeface="Times New Roman" pitchFamily="18" charset="0"/>
                <a:cs typeface="Times New Roman" pitchFamily="18" charset="0"/>
              </a:rPr>
              <a:t>Savivaldybės 2015 m. patikslinto biudžeto plano struktūra pagal finansavimo šaltinius (tūkst. Eur, proc.)</a:t>
            </a:r>
          </a:p>
        </c:rich>
      </c:tx>
      <c:layout>
        <c:manualLayout>
          <c:xMode val="edge"/>
          <c:yMode val="edge"/>
          <c:x val="0.13691510861282782"/>
          <c:y val="5.1050584586017654E-2"/>
        </c:manualLayout>
      </c:layout>
    </c:title>
    <c:view3D>
      <c:rotX val="30"/>
      <c:perspective val="30"/>
    </c:view3D>
    <c:plotArea>
      <c:layout>
        <c:manualLayout>
          <c:layoutTarget val="inner"/>
          <c:xMode val="edge"/>
          <c:yMode val="edge"/>
          <c:x val="9.9880951066250043E-2"/>
          <c:y val="0.26001248791269937"/>
          <c:w val="0.83571968651184292"/>
          <c:h val="0.39171841414560443"/>
        </c:manualLayout>
      </c:layout>
      <c:pie3DChart>
        <c:varyColors val="1"/>
        <c:ser>
          <c:idx val="0"/>
          <c:order val="0"/>
          <c:explosion val="30"/>
          <c:dPt>
            <c:idx val="0"/>
            <c:spPr>
              <a:solidFill>
                <a:srgbClr val="FFC000"/>
              </a:solidFill>
            </c:spPr>
          </c:dPt>
          <c:dPt>
            <c:idx val="1"/>
            <c:spPr>
              <a:solidFill>
                <a:schemeClr val="accent1">
                  <a:lumMod val="75000"/>
                </a:schemeClr>
              </a:solidFill>
            </c:spPr>
          </c:dPt>
          <c:dPt>
            <c:idx val="2"/>
            <c:spPr>
              <a:solidFill>
                <a:schemeClr val="accent6">
                  <a:lumMod val="60000"/>
                  <a:lumOff val="40000"/>
                </a:schemeClr>
              </a:solidFill>
            </c:spPr>
          </c:dPt>
          <c:dPt>
            <c:idx val="3"/>
            <c:spPr>
              <a:solidFill>
                <a:schemeClr val="accent6">
                  <a:lumMod val="50000"/>
                </a:schemeClr>
              </a:solidFill>
            </c:spPr>
          </c:dPt>
          <c:dPt>
            <c:idx val="4"/>
            <c:spPr>
              <a:solidFill>
                <a:schemeClr val="bg2">
                  <a:lumMod val="90000"/>
                </a:schemeClr>
              </a:solidFill>
            </c:spPr>
          </c:dPt>
          <c:dPt>
            <c:idx val="5"/>
            <c:spPr>
              <a:solidFill>
                <a:schemeClr val="bg2">
                  <a:lumMod val="25000"/>
                </a:schemeClr>
              </a:solidFill>
            </c:spPr>
          </c:dPt>
          <c:dLbls>
            <c:dLbl>
              <c:idx val="0"/>
              <c:layout>
                <c:manualLayout>
                  <c:x val="9.9184326849973727E-3"/>
                  <c:y val="-3.2544977332378912E-2"/>
                </c:manualLayout>
              </c:layout>
              <c:tx>
                <c:rich>
                  <a:bodyPr/>
                  <a:lstStyle/>
                  <a:p>
                    <a:r>
                      <a:rPr lang="lt-LT" sz="800">
                        <a:latin typeface="Times New Roman" pitchFamily="18" charset="0"/>
                        <a:cs typeface="Times New Roman" pitchFamily="18" charset="0"/>
                      </a:rPr>
                      <a:t>4791,2                                          48,42 %  </a:t>
                    </a:r>
                    <a:endParaRPr lang="en-US" sz="800">
                      <a:latin typeface="Times New Roman" pitchFamily="18" charset="0"/>
                      <a:cs typeface="Times New Roman" pitchFamily="18" charset="0"/>
                    </a:endParaRPr>
                  </a:p>
                </c:rich>
              </c:tx>
              <c:dLblPos val="bestFit"/>
            </c:dLbl>
            <c:dLbl>
              <c:idx val="1"/>
              <c:layout>
                <c:manualLayout>
                  <c:x val="-2.6222879345322008E-2"/>
                  <c:y val="2.4916487711763302E-2"/>
                </c:manualLayout>
              </c:layout>
              <c:tx>
                <c:rich>
                  <a:bodyPr/>
                  <a:lstStyle/>
                  <a:p>
                    <a:r>
                      <a:rPr lang="lt-LT" sz="800">
                        <a:latin typeface="Times New Roman" pitchFamily="18" charset="0"/>
                        <a:cs typeface="Times New Roman" pitchFamily="18" charset="0"/>
                      </a:rPr>
                      <a:t>2238,5                        22,62 %</a:t>
                    </a:r>
                    <a:endParaRPr lang="en-US" sz="800">
                      <a:latin typeface="Times New Roman" pitchFamily="18" charset="0"/>
                      <a:cs typeface="Times New Roman" pitchFamily="18" charset="0"/>
                    </a:endParaRPr>
                  </a:p>
                </c:rich>
              </c:tx>
              <c:dLblPos val="bestFit"/>
            </c:dLbl>
            <c:dLbl>
              <c:idx val="2"/>
              <c:layout>
                <c:manualLayout>
                  <c:x val="-7.6576618815817912E-2"/>
                  <c:y val="-1.4510412475812784E-2"/>
                </c:manualLayout>
              </c:layout>
              <c:tx>
                <c:rich>
                  <a:bodyPr/>
                  <a:lstStyle/>
                  <a:p>
                    <a:r>
                      <a:rPr lang="lt-LT" sz="800">
                        <a:latin typeface="Times New Roman" pitchFamily="18" charset="0"/>
                        <a:cs typeface="Times New Roman" pitchFamily="18" charset="0"/>
                      </a:rPr>
                      <a:t>477,3                                         4,83 %</a:t>
                    </a:r>
                    <a:endParaRPr lang="en-US" sz="800">
                      <a:latin typeface="Times New Roman" pitchFamily="18" charset="0"/>
                      <a:cs typeface="Times New Roman" pitchFamily="18" charset="0"/>
                    </a:endParaRPr>
                  </a:p>
                </c:rich>
              </c:tx>
              <c:dLblPos val="bestFit"/>
            </c:dLbl>
            <c:dLbl>
              <c:idx val="3"/>
              <c:layout>
                <c:manualLayout>
                  <c:x val="-6.8221040897806562E-2"/>
                  <c:y val="-1.8710653868996303E-2"/>
                </c:manualLayout>
              </c:layout>
              <c:tx>
                <c:rich>
                  <a:bodyPr/>
                  <a:lstStyle/>
                  <a:p>
                    <a:r>
                      <a:rPr lang="lt-LT" sz="800">
                        <a:latin typeface="Times New Roman" pitchFamily="18" charset="0"/>
                        <a:cs typeface="Times New Roman" pitchFamily="18" charset="0"/>
                      </a:rPr>
                      <a:t>629,5                              6,36 %</a:t>
                    </a:r>
                    <a:endParaRPr lang="en-US" sz="800">
                      <a:latin typeface="Times New Roman" pitchFamily="18" charset="0"/>
                      <a:cs typeface="Times New Roman" pitchFamily="18" charset="0"/>
                    </a:endParaRPr>
                  </a:p>
                </c:rich>
              </c:tx>
              <c:dLblPos val="bestFit"/>
            </c:dLbl>
            <c:dLbl>
              <c:idx val="4"/>
              <c:layout>
                <c:manualLayout>
                  <c:x val="-6.6778088815955802E-2"/>
                  <c:y val="-2.9147013557612012E-2"/>
                </c:manualLayout>
              </c:layout>
              <c:tx>
                <c:rich>
                  <a:bodyPr/>
                  <a:lstStyle/>
                  <a:p>
                    <a:r>
                      <a:rPr lang="lt-LT" sz="800">
                        <a:latin typeface="Times New Roman" pitchFamily="18" charset="0"/>
                        <a:cs typeface="Times New Roman" pitchFamily="18" charset="0"/>
                      </a:rPr>
                      <a:t>1602,0                            16,19 %</a:t>
                    </a:r>
                    <a:endParaRPr lang="en-US" sz="800">
                      <a:latin typeface="Times New Roman" pitchFamily="18" charset="0"/>
                      <a:cs typeface="Times New Roman" pitchFamily="18" charset="0"/>
                    </a:endParaRPr>
                  </a:p>
                </c:rich>
              </c:tx>
              <c:dLblPos val="bestFit"/>
            </c:dLbl>
            <c:dLbl>
              <c:idx val="5"/>
              <c:layout>
                <c:manualLayout>
                  <c:x val="3.1267518880630292E-2"/>
                  <c:y val="-1.0968957347484863E-2"/>
                </c:manualLayout>
              </c:layout>
              <c:tx>
                <c:rich>
                  <a:bodyPr/>
                  <a:lstStyle/>
                  <a:p>
                    <a:r>
                      <a:rPr lang="lt-LT" sz="800">
                        <a:latin typeface="Times New Roman" pitchFamily="18" charset="0"/>
                        <a:cs typeface="Times New Roman" pitchFamily="18" charset="0"/>
                      </a:rPr>
                      <a:t>156,4                                  1,58 %</a:t>
                    </a:r>
                    <a:endParaRPr lang="en-US" sz="800">
                      <a:latin typeface="Times New Roman" pitchFamily="18" charset="0"/>
                      <a:cs typeface="Times New Roman" pitchFamily="18" charset="0"/>
                    </a:endParaRPr>
                  </a:p>
                </c:rich>
              </c:tx>
              <c:dLblPos val="bestFit"/>
            </c:dLbl>
            <c:txPr>
              <a:bodyPr/>
              <a:lstStyle/>
              <a:p>
                <a:pPr>
                  <a:defRPr sz="800" b="1">
                    <a:latin typeface="Times New Roman" pitchFamily="18" charset="0"/>
                    <a:cs typeface="Times New Roman" pitchFamily="18" charset="0"/>
                  </a:defRPr>
                </a:pPr>
                <a:endParaRPr lang="lt-LT"/>
              </a:p>
            </c:txPr>
            <c:showVal val="1"/>
            <c:showLeaderLines val="1"/>
          </c:dLbls>
          <c:cat>
            <c:strRef>
              <c:f>'Mero atask. už 2015 m.'!$B$3:$B$8</c:f>
              <c:strCache>
                <c:ptCount val="6"/>
                <c:pt idx="0">
                  <c:v>Savivaldybės biudžeto lėšos savarankiškoms funkcijoms vykdyti - 4791,2 tūkst. Eur (48,42 %)</c:v>
                </c:pt>
                <c:pt idx="1">
                  <c:v>VIP lėšos - 2238,5 tūkst Eur (22,62 %)</c:v>
                </c:pt>
                <c:pt idx="2">
                  <c:v>Skolintos lėšos - 477,3 tūkst. Eur (4,83 %)</c:v>
                </c:pt>
                <c:pt idx="3">
                  <c:v>Valstybinėms (perduotoms savivaldybėms) funkcijoms vykdyti - 629,5 tūkst. Eur (6,36 %)</c:v>
                </c:pt>
                <c:pt idx="4">
                  <c:v>Mokinio krepšeliui finansuoti - 1602,0 tūkst. Eur (16,19 %)</c:v>
                </c:pt>
                <c:pt idx="5">
                  <c:v>Įstaigų pajamų (už teikiamas paslaugas ir butų nuomą) programai vykdyti - 156,4 tūkst. Eur (1,58 %)</c:v>
                </c:pt>
              </c:strCache>
            </c:strRef>
          </c:cat>
          <c:val>
            <c:numRef>
              <c:f>'Mero atask. už 2015 m.'!$C$3:$C$8</c:f>
              <c:numCache>
                <c:formatCode>0.0</c:formatCode>
                <c:ptCount val="6"/>
                <c:pt idx="0" formatCode="General">
                  <c:v>4791.2</c:v>
                </c:pt>
                <c:pt idx="1">
                  <c:v>2238.5</c:v>
                </c:pt>
                <c:pt idx="2" formatCode="General">
                  <c:v>477.3</c:v>
                </c:pt>
                <c:pt idx="3" formatCode="General">
                  <c:v>629.5</c:v>
                </c:pt>
                <c:pt idx="4">
                  <c:v>1602</c:v>
                </c:pt>
                <c:pt idx="5" formatCode="General">
                  <c:v>156.4</c:v>
                </c:pt>
              </c:numCache>
            </c:numRef>
          </c:val>
        </c:ser>
      </c:pie3DChart>
      <c:spPr>
        <a:noFill/>
        <a:ln w="25400">
          <a:noFill/>
        </a:ln>
      </c:spPr>
    </c:plotArea>
    <c:legend>
      <c:legendPos val="b"/>
      <c:layout>
        <c:manualLayout>
          <c:xMode val="edge"/>
          <c:yMode val="edge"/>
          <c:x val="8.6889747987277749E-2"/>
          <c:y val="0.72133577642418334"/>
          <c:w val="0.81418680968128077"/>
          <c:h val="0.26189273510622491"/>
        </c:manualLayout>
      </c:layout>
      <c:txPr>
        <a:bodyPr/>
        <a:lstStyle/>
        <a:p>
          <a:pPr>
            <a:defRPr sz="800" b="1">
              <a:latin typeface="Times New Roman" pitchFamily="18" charset="0"/>
              <a:cs typeface="Times New Roman" pitchFamily="18" charset="0"/>
            </a:defRPr>
          </a:pPr>
          <a:endParaRPr lang="lt-LT"/>
        </a:p>
      </c:txPr>
    </c:legend>
    <c:plotVisOnly val="1"/>
    <c:dispBlanksAs val="zero"/>
  </c:chart>
  <c:spPr>
    <a:gradFill>
      <a:gsLst>
        <a:gs pos="0">
          <a:srgbClr val="FFEFD1"/>
        </a:gs>
        <a:gs pos="64999">
          <a:srgbClr val="F0EBD5"/>
        </a:gs>
        <a:gs pos="100000">
          <a:srgbClr val="D1C39F"/>
        </a:gs>
      </a:gsLst>
      <a:lin ang="5400000" scaled="0"/>
    </a:gradFill>
    <a:effectLst>
      <a:innerShdw blurRad="63500" dist="50800" dir="13500000">
        <a:prstClr val="black">
          <a:alpha val="50000"/>
        </a:prstClr>
      </a:innerShdw>
    </a:effectLst>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Arial"/>
                <a:ea typeface="Arial"/>
                <a:cs typeface="Arial"/>
              </a:defRPr>
            </a:pPr>
            <a:r>
              <a:rPr lang="lt-LT"/>
              <a:t>SĄNAUDŲ STRUKTŪRA</a:t>
            </a:r>
          </a:p>
        </c:rich>
      </c:tx>
      <c:layout>
        <c:manualLayout>
          <c:xMode val="edge"/>
          <c:yMode val="edge"/>
          <c:x val="0.36246418338109226"/>
          <c:y val="3.4384035328917234E-2"/>
        </c:manualLayout>
      </c:layout>
      <c:spPr>
        <a:noFill/>
        <a:ln w="25400">
          <a:noFill/>
        </a:ln>
      </c:spPr>
    </c:title>
    <c:plotArea>
      <c:layout>
        <c:manualLayout>
          <c:layoutTarget val="inner"/>
          <c:xMode val="edge"/>
          <c:yMode val="edge"/>
          <c:x val="0.11891117478510103"/>
          <c:y val="0.16618934426114831"/>
          <c:w val="0.86103151862464578"/>
          <c:h val="0.48710669869647105"/>
        </c:manualLayout>
      </c:layout>
      <c:barChart>
        <c:barDir val="col"/>
        <c:grouping val="clustered"/>
        <c:ser>
          <c:idx val="0"/>
          <c:order val="0"/>
          <c:tx>
            <c:strRef>
              <c:f>išlaidos!$C$29</c:f>
              <c:strCache>
                <c:ptCount val="1"/>
                <c:pt idx="0">
                  <c:v>2013 m.</c:v>
                </c:pt>
              </c:strCache>
            </c:strRef>
          </c:tx>
          <c:spPr>
            <a:solidFill>
              <a:srgbClr val="9999FF"/>
            </a:solidFill>
            <a:ln w="12700">
              <a:solidFill>
                <a:srgbClr val="000000"/>
              </a:solidFill>
              <a:prstDash val="solid"/>
            </a:ln>
          </c:spPr>
          <c:cat>
            <c:strRef>
              <c:f>išlaidos!$D$28:$I$28</c:f>
              <c:strCache>
                <c:ptCount val="6"/>
                <c:pt idx="0">
                  <c:v>DU+soc. draudimo įmokos</c:v>
                </c:pt>
                <c:pt idx="1">
                  <c:v>Soc. išmokos</c:v>
                </c:pt>
                <c:pt idx="2">
                  <c:v>Paskolų ir palūkanų grąž.</c:v>
                </c:pt>
                <c:pt idx="3">
                  <c:v>Turto įsigijimo išlaidos</c:v>
                </c:pt>
                <c:pt idx="4">
                  <c:v>Kitos išlaidos</c:v>
                </c:pt>
                <c:pt idx="5">
                  <c:v>Iš viso</c:v>
                </c:pt>
              </c:strCache>
            </c:strRef>
          </c:cat>
          <c:val>
            <c:numRef>
              <c:f>išlaidos!$D$29:$I$29</c:f>
              <c:numCache>
                <c:formatCode>General</c:formatCode>
                <c:ptCount val="6"/>
                <c:pt idx="0" formatCode="0.0">
                  <c:v>3614.7</c:v>
                </c:pt>
                <c:pt idx="1">
                  <c:v>816.9</c:v>
                </c:pt>
                <c:pt idx="2">
                  <c:v>256.5</c:v>
                </c:pt>
                <c:pt idx="3" formatCode="0.0">
                  <c:v>641.70000000000005</c:v>
                </c:pt>
                <c:pt idx="4" formatCode="0.0">
                  <c:v>951.3</c:v>
                </c:pt>
                <c:pt idx="5" formatCode="0.0">
                  <c:v>6281.1000000000013</c:v>
                </c:pt>
              </c:numCache>
            </c:numRef>
          </c:val>
        </c:ser>
        <c:ser>
          <c:idx val="1"/>
          <c:order val="1"/>
          <c:tx>
            <c:strRef>
              <c:f>išlaidos!$C$30</c:f>
              <c:strCache>
                <c:ptCount val="1"/>
                <c:pt idx="0">
                  <c:v>2014 m.</c:v>
                </c:pt>
              </c:strCache>
            </c:strRef>
          </c:tx>
          <c:spPr>
            <a:solidFill>
              <a:srgbClr val="993366"/>
            </a:solidFill>
            <a:ln w="12700">
              <a:solidFill>
                <a:srgbClr val="000000"/>
              </a:solidFill>
              <a:prstDash val="solid"/>
            </a:ln>
          </c:spPr>
          <c:cat>
            <c:strRef>
              <c:f>išlaidos!$D$28:$I$28</c:f>
              <c:strCache>
                <c:ptCount val="6"/>
                <c:pt idx="0">
                  <c:v>DU+soc. draudimo įmokos</c:v>
                </c:pt>
                <c:pt idx="1">
                  <c:v>Soc. išmokos</c:v>
                </c:pt>
                <c:pt idx="2">
                  <c:v>Paskolų ir palūkanų grąž.</c:v>
                </c:pt>
                <c:pt idx="3">
                  <c:v>Turto įsigijimo išlaidos</c:v>
                </c:pt>
                <c:pt idx="4">
                  <c:v>Kitos išlaidos</c:v>
                </c:pt>
                <c:pt idx="5">
                  <c:v>Iš viso</c:v>
                </c:pt>
              </c:strCache>
            </c:strRef>
          </c:cat>
          <c:val>
            <c:numRef>
              <c:f>išlaidos!$D$30:$I$30</c:f>
              <c:numCache>
                <c:formatCode>General</c:formatCode>
                <c:ptCount val="6"/>
                <c:pt idx="0" formatCode="0.0">
                  <c:v>3711.6</c:v>
                </c:pt>
                <c:pt idx="1">
                  <c:v>614.4</c:v>
                </c:pt>
                <c:pt idx="2">
                  <c:v>214.5</c:v>
                </c:pt>
                <c:pt idx="3" formatCode="0.0">
                  <c:v>450.3</c:v>
                </c:pt>
                <c:pt idx="4" formatCode="0.0">
                  <c:v>1062.5999999999999</c:v>
                </c:pt>
                <c:pt idx="5" formatCode="0.0">
                  <c:v>6053.4</c:v>
                </c:pt>
              </c:numCache>
            </c:numRef>
          </c:val>
        </c:ser>
        <c:ser>
          <c:idx val="2"/>
          <c:order val="2"/>
          <c:tx>
            <c:strRef>
              <c:f>išlaidos!$C$31</c:f>
              <c:strCache>
                <c:ptCount val="1"/>
                <c:pt idx="0">
                  <c:v>2015 m.</c:v>
                </c:pt>
              </c:strCache>
            </c:strRef>
          </c:tx>
          <c:spPr>
            <a:solidFill>
              <a:srgbClr val="FFFFCC"/>
            </a:solidFill>
            <a:ln w="12700">
              <a:solidFill>
                <a:srgbClr val="000000"/>
              </a:solidFill>
              <a:prstDash val="solid"/>
            </a:ln>
          </c:spPr>
          <c:cat>
            <c:strRef>
              <c:f>išlaidos!$D$28:$I$28</c:f>
              <c:strCache>
                <c:ptCount val="6"/>
                <c:pt idx="0">
                  <c:v>DU+soc. draudimo įmokos</c:v>
                </c:pt>
                <c:pt idx="1">
                  <c:v>Soc. išmokos</c:v>
                </c:pt>
                <c:pt idx="2">
                  <c:v>Paskolų ir palūkanų grąž.</c:v>
                </c:pt>
                <c:pt idx="3">
                  <c:v>Turto įsigijimo išlaidos</c:v>
                </c:pt>
                <c:pt idx="4">
                  <c:v>Kitos išlaidos</c:v>
                </c:pt>
                <c:pt idx="5">
                  <c:v>Iš viso</c:v>
                </c:pt>
              </c:strCache>
            </c:strRef>
          </c:cat>
          <c:val>
            <c:numRef>
              <c:f>išlaidos!$D$31:$I$31</c:f>
              <c:numCache>
                <c:formatCode>General</c:formatCode>
                <c:ptCount val="6"/>
                <c:pt idx="0" formatCode="0.0">
                  <c:v>3789.3</c:v>
                </c:pt>
                <c:pt idx="1">
                  <c:v>580.6</c:v>
                </c:pt>
                <c:pt idx="2">
                  <c:v>262.60000000000002</c:v>
                </c:pt>
                <c:pt idx="3" formatCode="0.0">
                  <c:v>2573.8000000000002</c:v>
                </c:pt>
                <c:pt idx="4" formatCode="0.0">
                  <c:v>1513.2</c:v>
                </c:pt>
                <c:pt idx="5" formatCode="0.0">
                  <c:v>8719.5000000000018</c:v>
                </c:pt>
              </c:numCache>
            </c:numRef>
          </c:val>
        </c:ser>
        <c:axId val="174051328"/>
        <c:axId val="174052864"/>
      </c:barChart>
      <c:catAx>
        <c:axId val="174051328"/>
        <c:scaling>
          <c:orientation val="minMax"/>
        </c:scaling>
        <c:axPos val="b"/>
        <c:numFmt formatCode="General" sourceLinked="1"/>
        <c:tickLblPos val="nextTo"/>
        <c:spPr>
          <a:ln w="3175">
            <a:solidFill>
              <a:srgbClr val="000000"/>
            </a:solidFill>
            <a:prstDash val="solid"/>
          </a:ln>
        </c:spPr>
        <c:txPr>
          <a:bodyPr rot="-5400000" vert="horz"/>
          <a:lstStyle/>
          <a:p>
            <a:pPr>
              <a:defRPr sz="1000" b="0" i="0" u="none" strike="noStrike" baseline="0">
                <a:solidFill>
                  <a:srgbClr val="000000"/>
                </a:solidFill>
                <a:latin typeface="Arial"/>
                <a:ea typeface="Arial"/>
                <a:cs typeface="Arial"/>
              </a:defRPr>
            </a:pPr>
            <a:endParaRPr lang="lt-LT"/>
          </a:p>
        </c:txPr>
        <c:crossAx val="174052864"/>
        <c:crosses val="autoZero"/>
        <c:auto val="1"/>
        <c:lblAlgn val="ctr"/>
        <c:lblOffset val="100"/>
        <c:tickMarkSkip val="1"/>
      </c:catAx>
      <c:valAx>
        <c:axId val="174052864"/>
        <c:scaling>
          <c:orientation val="minMax"/>
        </c:scaling>
        <c:delete val="1"/>
        <c:axPos val="l"/>
        <c:majorGridlines>
          <c:spPr>
            <a:ln w="3175">
              <a:solidFill>
                <a:srgbClr val="000000"/>
              </a:solidFill>
              <a:prstDash val="solid"/>
            </a:ln>
          </c:spPr>
        </c:majorGridlines>
        <c:numFmt formatCode="0.0" sourceLinked="1"/>
        <c:tickLblPos val="none"/>
        <c:crossAx val="174051328"/>
        <c:crosses val="autoZero"/>
        <c:crossBetween val="between"/>
      </c:valAx>
      <c:dTable>
        <c:showHorzBorder val="1"/>
        <c:showVertBorder val="1"/>
        <c:showOutline val="1"/>
        <c:showKeys val="1"/>
        <c:spPr>
          <a:ln w="3175">
            <a:solidFill>
              <a:srgbClr val="000000"/>
            </a:solidFill>
            <a:prstDash val="solid"/>
          </a:ln>
        </c:spPr>
        <c:txPr>
          <a:bodyPr/>
          <a:lstStyle/>
          <a:p>
            <a:pPr rtl="0">
              <a:defRPr sz="1000" b="0" i="0" u="none" strike="noStrike" baseline="0">
                <a:solidFill>
                  <a:srgbClr val="000000"/>
                </a:solidFill>
                <a:latin typeface="Arial"/>
                <a:ea typeface="Arial"/>
                <a:cs typeface="Arial"/>
              </a:defRPr>
            </a:pPr>
            <a:endParaRPr lang="lt-LT"/>
          </a:p>
        </c:txPr>
      </c:dTable>
      <c:spPr>
        <a:solidFill>
          <a:srgbClr val="C0C0C0"/>
        </a:solidFill>
        <a:ln w="12700">
          <a:solidFill>
            <a:srgbClr val="808080"/>
          </a:solidFill>
          <a:prstDash val="solid"/>
        </a:ln>
      </c:spPr>
    </c:plotArea>
    <c:plotVisOnly val="1"/>
    <c:dispBlanksAs val="gap"/>
  </c:chart>
  <c:spPr>
    <a:solidFill>
      <a:srgbClr val="FFCC99"/>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000">
                <a:latin typeface="Times New Roman" pitchFamily="18" charset="0"/>
                <a:cs typeface="Times New Roman" pitchFamily="18" charset="0"/>
              </a:defRPr>
            </a:pPr>
            <a:r>
              <a:rPr lang="lt-LT" sz="1000">
                <a:latin typeface="Times New Roman" pitchFamily="18" charset="0"/>
                <a:cs typeface="Times New Roman" pitchFamily="18" charset="0"/>
              </a:rPr>
              <a:t>2015 METŲ PROGRAMŲ FINANSAVIMAS PAGAL FINANSAVIMO</a:t>
            </a:r>
            <a:r>
              <a:rPr lang="lt-LT" sz="1000" baseline="0">
                <a:latin typeface="Times New Roman" pitchFamily="18" charset="0"/>
                <a:cs typeface="Times New Roman" pitchFamily="18" charset="0"/>
              </a:rPr>
              <a:t> ŠALTINIUS TŪKST. EUR</a:t>
            </a:r>
            <a:endParaRPr lang="en-US" sz="1000">
              <a:latin typeface="Times New Roman" pitchFamily="18" charset="0"/>
              <a:cs typeface="Times New Roman" pitchFamily="18" charset="0"/>
            </a:endParaRPr>
          </a:p>
        </c:rich>
      </c:tx>
    </c:title>
    <c:plotArea>
      <c:layout>
        <c:manualLayout>
          <c:layoutTarget val="inner"/>
          <c:xMode val="edge"/>
          <c:yMode val="edge"/>
          <c:x val="0.53795446034614691"/>
          <c:y val="0.20652670209921056"/>
          <c:w val="0.45136450131233902"/>
          <c:h val="0.50408268072181395"/>
        </c:manualLayout>
      </c:layout>
      <c:barChart>
        <c:barDir val="bar"/>
        <c:grouping val="clustered"/>
        <c:ser>
          <c:idx val="0"/>
          <c:order val="0"/>
          <c:spPr>
            <a:solidFill>
              <a:schemeClr val="accent3">
                <a:lumMod val="75000"/>
              </a:schemeClr>
            </a:solidFill>
            <a:ln w="0">
              <a:solidFill>
                <a:schemeClr val="tx1"/>
              </a:solidFill>
            </a:ln>
            <a:effectLst>
              <a:outerShdw blurRad="88900" dist="50800" dir="6600000" algn="ctr" rotWithShape="0">
                <a:schemeClr val="tx1"/>
              </a:outerShdw>
            </a:effectLst>
            <a:scene3d>
              <a:camera prst="orthographicFront"/>
              <a:lightRig rig="threePt" dir="t"/>
            </a:scene3d>
            <a:sp3d>
              <a:bevelT/>
            </a:sp3d>
          </c:spPr>
          <c:dLbls>
            <c:dLbl>
              <c:idx val="0"/>
              <c:layout>
                <c:manualLayout>
                  <c:x val="6.4308670817418536E-3"/>
                  <c:y val="-3.5180299032541791E-3"/>
                </c:manualLayout>
              </c:layout>
              <c:dLblPos val="outEnd"/>
              <c:showVal val="1"/>
            </c:dLbl>
            <c:dLbl>
              <c:idx val="1"/>
              <c:layout>
                <c:manualLayout>
                  <c:x val="1.3355592654424122E-2"/>
                  <c:y val="0"/>
                </c:manualLayout>
              </c:layout>
              <c:dLblPos val="outEnd"/>
              <c:showVal val="1"/>
            </c:dLbl>
            <c:dLbl>
              <c:idx val="2"/>
              <c:layout>
                <c:manualLayout>
                  <c:x val="1.3355592654424039E-2"/>
                  <c:y val="0"/>
                </c:manualLayout>
              </c:layout>
              <c:dLblPos val="outEnd"/>
              <c:showVal val="1"/>
            </c:dLbl>
            <c:dLbl>
              <c:idx val="3"/>
              <c:layout>
                <c:manualLayout>
                  <c:x val="1.3355592654424039E-2"/>
                  <c:y val="0"/>
                </c:manualLayout>
              </c:layout>
              <c:dLblPos val="outEnd"/>
              <c:showVal val="1"/>
            </c:dLbl>
            <c:dLbl>
              <c:idx val="4"/>
              <c:layout>
                <c:manualLayout>
                  <c:x val="1.3355592654424039E-2"/>
                  <c:y val="0"/>
                </c:manualLayout>
              </c:layout>
              <c:dLblPos val="outEnd"/>
              <c:showVal val="1"/>
            </c:dLbl>
            <c:dLbl>
              <c:idx val="5"/>
              <c:layout>
                <c:manualLayout>
                  <c:x val="2.0033388981636212E-2"/>
                  <c:y val="0"/>
                </c:manualLayout>
              </c:layout>
              <c:dLblPos val="outEnd"/>
              <c:showVal val="1"/>
            </c:dLbl>
            <c:spPr>
              <a:effectLst>
                <a:outerShdw blurRad="50800" dist="50800" dir="5400000" algn="ctr" rotWithShape="0">
                  <a:schemeClr val="tx1"/>
                </a:outerShdw>
              </a:effectLst>
            </c:spPr>
            <c:txPr>
              <a:bodyPr/>
              <a:lstStyle/>
              <a:p>
                <a:pPr>
                  <a:defRPr sz="1100" b="1">
                    <a:latin typeface="Times New Roman" pitchFamily="18" charset="0"/>
                    <a:cs typeface="Times New Roman" pitchFamily="18" charset="0"/>
                  </a:defRPr>
                </a:pPr>
                <a:endParaRPr lang="lt-LT"/>
              </a:p>
            </c:txPr>
            <c:showVal val="1"/>
          </c:dLbls>
          <c:cat>
            <c:strRef>
              <c:f>'Mero atask. už 2015 m.'!$B$89:$B$93</c:f>
              <c:strCache>
                <c:ptCount val="5"/>
                <c:pt idx="0">
                  <c:v>Savivaldybės biudžeto lėšos </c:v>
                </c:pt>
                <c:pt idx="1">
                  <c:v>Europos sąjungos lėšos </c:v>
                </c:pt>
                <c:pt idx="2">
                  <c:v>Valstybės biudžeto lėšos</c:v>
                </c:pt>
                <c:pt idx="3">
                  <c:v>Socialinės apsaugos ir darbo ministerijos lėšos </c:v>
                </c:pt>
                <c:pt idx="4">
                  <c:v>Kiti finansavimo šaltiniai</c:v>
                </c:pt>
              </c:strCache>
            </c:strRef>
          </c:cat>
          <c:val>
            <c:numRef>
              <c:f>'Mero atask. už 2015 m.'!$C$89:$C$93</c:f>
              <c:numCache>
                <c:formatCode>General</c:formatCode>
                <c:ptCount val="5"/>
                <c:pt idx="0" formatCode="0.0">
                  <c:v>9894.9</c:v>
                </c:pt>
                <c:pt idx="1">
                  <c:v>107.4</c:v>
                </c:pt>
                <c:pt idx="2">
                  <c:v>155.9</c:v>
                </c:pt>
                <c:pt idx="3" formatCode="0.0">
                  <c:v>1251</c:v>
                </c:pt>
                <c:pt idx="4" formatCode="0.0">
                  <c:v>93.5</c:v>
                </c:pt>
              </c:numCache>
            </c:numRef>
          </c:val>
        </c:ser>
        <c:gapWidth val="76"/>
        <c:axId val="168918016"/>
        <c:axId val="168923904"/>
      </c:barChart>
      <c:catAx>
        <c:axId val="168918016"/>
        <c:scaling>
          <c:orientation val="minMax"/>
        </c:scaling>
        <c:axPos val="l"/>
        <c:numFmt formatCode="General" sourceLinked="1"/>
        <c:tickLblPos val="nextTo"/>
        <c:txPr>
          <a:bodyPr/>
          <a:lstStyle/>
          <a:p>
            <a:pPr>
              <a:defRPr sz="1050" b="1">
                <a:latin typeface="Times New Roman" pitchFamily="18" charset="0"/>
                <a:cs typeface="Times New Roman" pitchFamily="18" charset="0"/>
              </a:defRPr>
            </a:pPr>
            <a:endParaRPr lang="lt-LT"/>
          </a:p>
        </c:txPr>
        <c:crossAx val="168923904"/>
        <c:crosses val="autoZero"/>
        <c:auto val="1"/>
        <c:lblAlgn val="ctr"/>
        <c:lblOffset val="100"/>
      </c:catAx>
      <c:valAx>
        <c:axId val="168923904"/>
        <c:scaling>
          <c:orientation val="minMax"/>
        </c:scaling>
        <c:delete val="1"/>
        <c:axPos val="b"/>
        <c:numFmt formatCode="0.0" sourceLinked="1"/>
        <c:tickLblPos val="none"/>
        <c:crossAx val="168918016"/>
        <c:crosses val="autoZero"/>
        <c:crossBetween val="between"/>
      </c:valAx>
      <c:spPr>
        <a:blipFill dpi="0" rotWithShape="1">
          <a:blip xmlns:r="http://schemas.openxmlformats.org/officeDocument/2006/relationships" r:embed="rId1">
            <a:alphaModFix amt="33000"/>
          </a:blip>
          <a:srcRect/>
          <a:tile tx="0" ty="0" sx="100000" sy="100000" flip="none" algn="tl"/>
        </a:blipFill>
        <a:ln>
          <a:solidFill>
            <a:schemeClr val="accent2">
              <a:lumMod val="20000"/>
              <a:lumOff val="80000"/>
            </a:schemeClr>
          </a:solidFill>
        </a:ln>
        <a:effectLst>
          <a:outerShdw blurRad="50800" dist="50800" dir="5400000" algn="ctr" rotWithShape="0">
            <a:schemeClr val="bg1"/>
          </a:outerShdw>
        </a:effectLst>
        <a:scene3d>
          <a:camera prst="orthographicFront"/>
          <a:lightRig rig="threePt" dir="t"/>
        </a:scene3d>
        <a:sp3d prstMaterial="dkEdge"/>
      </c:spPr>
    </c:plotArea>
    <c:plotVisOnly val="1"/>
    <c:dispBlanksAs val="gap"/>
  </c:chart>
  <c:spPr>
    <a:blipFill>
      <a:blip xmlns:r="http://schemas.openxmlformats.org/officeDocument/2006/relationships" r:embed="rId1">
        <a:alphaModFix amt="28000"/>
      </a:blip>
      <a:tile tx="0" ty="0" sx="100000" sy="100000" flip="none" algn="tl"/>
    </a:blipFill>
    <a:effectLst>
      <a:outerShdw blurRad="50800" dist="50800" dir="5400000" algn="ctr" rotWithShape="0">
        <a:schemeClr val="bg2">
          <a:lumMod val="10000"/>
        </a:schemeClr>
      </a:outerShdw>
    </a:effectLst>
    <a:scene3d>
      <a:camera prst="orthographicFront"/>
      <a:lightRig rig="threePt" dir="t"/>
    </a:scene3d>
    <a:sp3d>
      <a:bevelT/>
    </a:sp3d>
  </c:spPr>
  <c:externalData r:id="rId2"/>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400">
                <a:latin typeface="Times New Roman" pitchFamily="18" charset="0"/>
                <a:cs typeface="Times New Roman" pitchFamily="18" charset="0"/>
              </a:defRPr>
            </a:pPr>
            <a:r>
              <a:rPr lang="lt-LT" sz="1400">
                <a:latin typeface="Times New Roman" pitchFamily="18" charset="0"/>
                <a:cs typeface="Times New Roman" pitchFamily="18" charset="0"/>
              </a:rPr>
              <a:t>2015 m. programų finansavimas iš visų finansavimo šaltinių tūkst. Eur</a:t>
            </a:r>
          </a:p>
        </c:rich>
      </c:tx>
      <c:layout>
        <c:manualLayout>
          <c:xMode val="edge"/>
          <c:yMode val="edge"/>
          <c:x val="0.13715561003976287"/>
          <c:y val="1.3864818024263563E-2"/>
        </c:manualLayout>
      </c:layout>
    </c:title>
    <c:view3D>
      <c:rotX val="30"/>
      <c:perspective val="30"/>
    </c:view3D>
    <c:plotArea>
      <c:layout>
        <c:manualLayout>
          <c:layoutTarget val="inner"/>
          <c:xMode val="edge"/>
          <c:yMode val="edge"/>
          <c:x val="0.23825527074425992"/>
          <c:y val="6.6668322611093168E-4"/>
          <c:w val="0.47214805448588976"/>
          <c:h val="0.72788324810888061"/>
        </c:manualLayout>
      </c:layout>
      <c:pie3DChart>
        <c:varyColors val="1"/>
        <c:ser>
          <c:idx val="0"/>
          <c:order val="0"/>
          <c:explosion val="10"/>
          <c:dLbls>
            <c:dLbl>
              <c:idx val="0"/>
              <c:layout>
                <c:manualLayout>
                  <c:x val="3.8667608017150405E-2"/>
                  <c:y val="-1.9206305836376183E-2"/>
                </c:manualLayout>
              </c:layout>
              <c:dLblPos val="bestFit"/>
              <c:showVal val="1"/>
            </c:dLbl>
            <c:dLbl>
              <c:idx val="1"/>
              <c:layout>
                <c:manualLayout>
                  <c:x val="6.2802989320992153E-2"/>
                  <c:y val="-1.3348677569150025E-2"/>
                </c:manualLayout>
              </c:layout>
              <c:dLblPos val="bestFit"/>
              <c:showVal val="1"/>
            </c:dLbl>
            <c:dLbl>
              <c:idx val="2"/>
              <c:layout>
                <c:manualLayout>
                  <c:x val="-5.0689503228154775E-3"/>
                  <c:y val="-7.6589960950931811E-3"/>
                </c:manualLayout>
              </c:layout>
              <c:dLblPos val="bestFit"/>
              <c:showVal val="1"/>
            </c:dLbl>
            <c:dLbl>
              <c:idx val="3"/>
              <c:layout>
                <c:manualLayout>
                  <c:x val="-9.0994808130735766E-2"/>
                  <c:y val="-1.8941251552847083E-2"/>
                </c:manualLayout>
              </c:layout>
              <c:dLblPos val="bestFit"/>
              <c:showVal val="1"/>
            </c:dLbl>
            <c:dLbl>
              <c:idx val="4"/>
              <c:layout>
                <c:manualLayout>
                  <c:x val="-1.1398049696342701E-2"/>
                  <c:y val="-5.2232596856975684E-2"/>
                </c:manualLayout>
              </c:layout>
              <c:dLblPos val="bestFit"/>
              <c:showVal val="1"/>
            </c:dLbl>
            <c:dLbl>
              <c:idx val="5"/>
              <c:layout>
                <c:manualLayout>
                  <c:x val="-0.12013672336759541"/>
                  <c:y val="1.3418332323844056E-2"/>
                </c:manualLayout>
              </c:layout>
              <c:dLblPos val="bestFit"/>
              <c:showVal val="1"/>
            </c:dLbl>
            <c:dLbl>
              <c:idx val="6"/>
              <c:layout>
                <c:manualLayout>
                  <c:x val="-0.10381615275189852"/>
                  <c:y val="-3.7008681607106804E-2"/>
                </c:manualLayout>
              </c:layout>
              <c:dLblPos val="bestFit"/>
              <c:showVal val="1"/>
            </c:dLbl>
            <c:dLbl>
              <c:idx val="7"/>
              <c:layout>
                <c:manualLayout>
                  <c:x val="-0.1159465448498327"/>
                  <c:y val="-8.1411669695134151E-2"/>
                </c:manualLayout>
              </c:layout>
              <c:dLblPos val="bestFit"/>
              <c:showVal val="1"/>
            </c:dLbl>
            <c:dLbl>
              <c:idx val="8"/>
              <c:layout>
                <c:manualLayout>
                  <c:x val="-2.5715960687396067E-2"/>
                  <c:y val="-9.2000624268246373E-2"/>
                </c:manualLayout>
              </c:layout>
              <c:dLblPos val="bestFit"/>
              <c:showVal val="1"/>
            </c:dLbl>
            <c:dLbl>
              <c:idx val="9"/>
              <c:layout>
                <c:manualLayout>
                  <c:x val="7.3488514665593807E-2"/>
                  <c:y val="-8.1515259744651708E-2"/>
                </c:manualLayout>
              </c:layout>
              <c:dLblPos val="bestFit"/>
              <c:showVal val="1"/>
            </c:dLbl>
            <c:dLbl>
              <c:idx val="10"/>
              <c:layout>
                <c:manualLayout>
                  <c:x val="0.10777661551430159"/>
                  <c:y val="-6.1457916708644582E-2"/>
                </c:manualLayout>
              </c:layout>
              <c:dLblPos val="bestFit"/>
              <c:showVal val="1"/>
            </c:dLbl>
            <c:txPr>
              <a:bodyPr/>
              <a:lstStyle/>
              <a:p>
                <a:pPr>
                  <a:defRPr b="1">
                    <a:latin typeface="Times New Roman" pitchFamily="18" charset="0"/>
                    <a:cs typeface="Times New Roman" pitchFamily="18" charset="0"/>
                  </a:defRPr>
                </a:pPr>
                <a:endParaRPr lang="lt-LT"/>
              </a:p>
            </c:txPr>
            <c:showVal val="1"/>
            <c:showLeaderLines val="1"/>
          </c:dLbls>
          <c:cat>
            <c:strRef>
              <c:f>'Mero atask. už 2015 m.'!$B$37:$B$47</c:f>
              <c:strCache>
                <c:ptCount val="11"/>
                <c:pt idx="0">
                  <c:v>01- Visuomenės ugdymo programa (3410,6 tūkst. Eur)</c:v>
                </c:pt>
                <c:pt idx="1">
                  <c:v>02- Sveikatos, socialinės paramos ir paslaugų įgyvendinimo programa (2066,3 tūkst. Eur)</c:v>
                </c:pt>
                <c:pt idx="2">
                  <c:v>03- Savivaldybės veiklos funkcijų vykdymo, strategijos formavimo ir įgyvendinimo programa (1344,5 tūkst. Eur)</c:v>
                </c:pt>
                <c:pt idx="3">
                  <c:v>04- Teritorijos planavimo ir turizmo plėtros programa (148,2 tūkst. Eur)</c:v>
                </c:pt>
                <c:pt idx="4">
                  <c:v>05- Ekonominės plėtros programa (3141,5 tūkst. Eur)</c:v>
                </c:pt>
                <c:pt idx="5">
                  <c:v>06- Privatizavimo fondo lėšų panaudojimo programa (9,8 tūkst. Eur)</c:v>
                </c:pt>
                <c:pt idx="6">
                  <c:v>07- Kaimo teritorijos vystymo ir žemės ūkio plėtros programa (162,3 tūkst. Eur)</c:v>
                </c:pt>
                <c:pt idx="7">
                  <c:v>08- Darbo rinkos politikos rengimo ir įgyvendinimo programa (65,0 tūkst. Eur)</c:v>
                </c:pt>
                <c:pt idx="8">
                  <c:v>09- Aplinkos apsaugos rėmimo programa (78,6 tūkst. Eur)</c:v>
                </c:pt>
                <c:pt idx="9">
                  <c:v>10- Komunalinių atliekų surinkimo ir tvarkymo programa (208,1 tūkst. Eur)</c:v>
                </c:pt>
                <c:pt idx="10">
                  <c:v>11- Paskolų valdymo programa (867,8 tūkst. Eur)</c:v>
                </c:pt>
              </c:strCache>
            </c:strRef>
          </c:cat>
          <c:val>
            <c:numRef>
              <c:f>'Mero atask. už 2015 m.'!$C$37:$C$47</c:f>
              <c:numCache>
                <c:formatCode>General</c:formatCode>
                <c:ptCount val="11"/>
                <c:pt idx="0">
                  <c:v>3410.6</c:v>
                </c:pt>
                <c:pt idx="1">
                  <c:v>2066.3000000000002</c:v>
                </c:pt>
                <c:pt idx="2">
                  <c:v>1344.5</c:v>
                </c:pt>
                <c:pt idx="3">
                  <c:v>148.19999999999999</c:v>
                </c:pt>
                <c:pt idx="4">
                  <c:v>3141.5</c:v>
                </c:pt>
                <c:pt idx="5">
                  <c:v>9.8000000000000007</c:v>
                </c:pt>
                <c:pt idx="6">
                  <c:v>162.30000000000001</c:v>
                </c:pt>
                <c:pt idx="7" formatCode="0.0">
                  <c:v>65</c:v>
                </c:pt>
                <c:pt idx="8">
                  <c:v>78.599999999999994</c:v>
                </c:pt>
                <c:pt idx="9">
                  <c:v>208.1</c:v>
                </c:pt>
                <c:pt idx="10">
                  <c:v>867.8</c:v>
                </c:pt>
              </c:numCache>
            </c:numRef>
          </c:val>
        </c:ser>
      </c:pie3DChart>
      <c:spPr>
        <a:noFill/>
        <a:ln w="25400">
          <a:noFill/>
        </a:ln>
      </c:spPr>
    </c:plotArea>
    <c:legend>
      <c:legendPos val="r"/>
      <c:layout>
        <c:manualLayout>
          <c:xMode val="edge"/>
          <c:yMode val="edge"/>
          <c:x val="0"/>
          <c:y val="0.53702552345601562"/>
          <c:w val="0.99574834582802896"/>
          <c:h val="0.44656410256410256"/>
        </c:manualLayout>
      </c:layout>
      <c:txPr>
        <a:bodyPr/>
        <a:lstStyle/>
        <a:p>
          <a:pPr>
            <a:defRPr sz="1000" b="1">
              <a:latin typeface="Times New Roman" pitchFamily="18" charset="0"/>
              <a:cs typeface="Times New Roman" pitchFamily="18" charset="0"/>
            </a:defRPr>
          </a:pPr>
          <a:endParaRPr lang="lt-LT"/>
        </a:p>
      </c:txPr>
    </c:legend>
    <c:plotVisOnly val="1"/>
    <c:dispBlanksAs val="zero"/>
  </c:chart>
  <c:spPr>
    <a:gradFill>
      <a:gsLst>
        <a:gs pos="0">
          <a:srgbClr val="FBEAC7"/>
        </a:gs>
        <a:gs pos="17999">
          <a:srgbClr val="FEE7F2"/>
        </a:gs>
        <a:gs pos="36000">
          <a:srgbClr val="FAC77D"/>
        </a:gs>
        <a:gs pos="61000">
          <a:srgbClr val="FBA97D"/>
        </a:gs>
        <a:gs pos="82001">
          <a:srgbClr val="FBD49C"/>
        </a:gs>
        <a:gs pos="100000">
          <a:srgbClr val="FEE7F2"/>
        </a:gs>
      </a:gsLst>
      <a:lin ang="5400000" scaled="0"/>
    </a:gradFill>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Arial"/>
                <a:ea typeface="Arial"/>
                <a:cs typeface="Arial"/>
              </a:defRPr>
            </a:pPr>
            <a:r>
              <a:rPr lang="lt-LT"/>
              <a:t>PAIMTŲ IR NEGRĄŽINTŲ PASKOLŲ LIKUTIS METŲ PRADŽIOJE IR PABAIGOJE</a:t>
            </a:r>
          </a:p>
        </c:rich>
      </c:tx>
      <c:layout>
        <c:manualLayout>
          <c:xMode val="edge"/>
          <c:yMode val="edge"/>
          <c:x val="0.1346704871060172"/>
          <c:y val="3.4384054661380781E-2"/>
        </c:manualLayout>
      </c:layout>
      <c:spPr>
        <a:noFill/>
        <a:ln w="25400">
          <a:noFill/>
        </a:ln>
      </c:spPr>
    </c:title>
    <c:view3D>
      <c:depthPercent val="100"/>
      <c:perspective val="30"/>
    </c:view3D>
    <c:sideWall>
      <c:spPr>
        <a:noFill/>
        <a:ln w="25400">
          <a:noFill/>
        </a:ln>
      </c:spPr>
    </c:sideWall>
    <c:backWall>
      <c:spPr>
        <a:noFill/>
        <a:ln w="25400">
          <a:noFill/>
        </a:ln>
      </c:spPr>
    </c:backWall>
    <c:plotArea>
      <c:layout>
        <c:manualLayout>
          <c:layoutTarget val="inner"/>
          <c:xMode val="edge"/>
          <c:yMode val="edge"/>
          <c:x val="0.34240687679083442"/>
          <c:y val="0.25788001695695645"/>
          <c:w val="0.63753581661891989"/>
          <c:h val="0.40974269360938287"/>
        </c:manualLayout>
      </c:layout>
      <c:bar3DChart>
        <c:barDir val="col"/>
        <c:grouping val="clustered"/>
        <c:ser>
          <c:idx val="0"/>
          <c:order val="0"/>
          <c:tx>
            <c:strRef>
              <c:f>'[2015 m. papild. medž..xls]paskol'!$B$10</c:f>
              <c:strCache>
                <c:ptCount val="1"/>
                <c:pt idx="0">
                  <c:v>paimtų ir negrąžintų paskolų lik. M. Pr.</c:v>
                </c:pt>
              </c:strCache>
            </c:strRef>
          </c:tx>
          <c:spPr>
            <a:ln w="12700">
              <a:solidFill>
                <a:srgbClr val="000080"/>
              </a:solidFill>
              <a:prstDash val="solid"/>
            </a:ln>
          </c:spPr>
          <c:cat>
            <c:strRef>
              <c:f>'[2015 m. papild. medž..xls]paskol'!$C$9:$E$9</c:f>
              <c:strCache>
                <c:ptCount val="3"/>
                <c:pt idx="0">
                  <c:v>2013 m.</c:v>
                </c:pt>
                <c:pt idx="1">
                  <c:v>2014 m.</c:v>
                </c:pt>
                <c:pt idx="2">
                  <c:v>2015 m.</c:v>
                </c:pt>
              </c:strCache>
            </c:strRef>
          </c:cat>
          <c:val>
            <c:numRef>
              <c:f>'[2015 m. papild. medž..xls]paskol'!$C$10:$E$10</c:f>
              <c:numCache>
                <c:formatCode>General</c:formatCode>
                <c:ptCount val="3"/>
                <c:pt idx="0" formatCode="0.0">
                  <c:v>1446</c:v>
                </c:pt>
                <c:pt idx="1">
                  <c:v>1576.2</c:v>
                </c:pt>
                <c:pt idx="2">
                  <c:v>1539.8</c:v>
                </c:pt>
              </c:numCache>
            </c:numRef>
          </c:val>
        </c:ser>
        <c:ser>
          <c:idx val="1"/>
          <c:order val="1"/>
          <c:tx>
            <c:strRef>
              <c:f>'[2015 m. papild. medž..xls]paskol'!$B$11</c:f>
              <c:strCache>
                <c:ptCount val="1"/>
                <c:pt idx="0">
                  <c:v>paimtų ir negrąžintų paskolų lik. M. Pb.</c:v>
                </c:pt>
              </c:strCache>
            </c:strRef>
          </c:tx>
          <c:spPr>
            <a:ln w="12700">
              <a:solidFill>
                <a:srgbClr val="FF00FF"/>
              </a:solidFill>
              <a:prstDash val="solid"/>
            </a:ln>
          </c:spPr>
          <c:cat>
            <c:strRef>
              <c:f>'[2015 m. papild. medž..xls]paskol'!$C$9:$E$9</c:f>
              <c:strCache>
                <c:ptCount val="3"/>
                <c:pt idx="0">
                  <c:v>2013 m.</c:v>
                </c:pt>
                <c:pt idx="1">
                  <c:v>2014 m.</c:v>
                </c:pt>
                <c:pt idx="2">
                  <c:v>2015 m.</c:v>
                </c:pt>
              </c:strCache>
            </c:strRef>
          </c:cat>
          <c:val>
            <c:numRef>
              <c:f>'[2015 m. papild. medž..xls]paskol'!$C$11:$E$11</c:f>
              <c:numCache>
                <c:formatCode>General</c:formatCode>
                <c:ptCount val="3"/>
                <c:pt idx="0">
                  <c:v>1576.2</c:v>
                </c:pt>
                <c:pt idx="1">
                  <c:v>1539.8</c:v>
                </c:pt>
                <c:pt idx="2">
                  <c:v>1716.6</c:v>
                </c:pt>
              </c:numCache>
            </c:numRef>
          </c:val>
        </c:ser>
        <c:shape val="pyramid"/>
        <c:axId val="173792640"/>
        <c:axId val="173814912"/>
        <c:axId val="0"/>
      </c:bar3DChart>
      <c:catAx>
        <c:axId val="173792640"/>
        <c:scaling>
          <c:orientation val="minMax"/>
        </c:scaling>
        <c:axPos val="b"/>
        <c:numFmt formatCode="General"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73814912"/>
        <c:crosses val="autoZero"/>
        <c:lblAlgn val="ctr"/>
        <c:lblOffset val="100"/>
        <c:tickMarkSkip val="1"/>
      </c:catAx>
      <c:valAx>
        <c:axId val="173814912"/>
        <c:scaling>
          <c:orientation val="minMax"/>
        </c:scaling>
        <c:axPos val="l"/>
        <c:numFmt formatCode="0.0"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73792640"/>
        <c:crosses val="autoZero"/>
        <c:crossBetween val="between"/>
      </c:valAx>
      <c:dTable>
        <c:showHorzBorder val="1"/>
        <c:showVertBorder val="1"/>
        <c:showOutline val="1"/>
        <c:showKeys val="1"/>
        <c:spPr>
          <a:ln w="3175">
            <a:solidFill>
              <a:srgbClr val="000000"/>
            </a:solidFill>
            <a:prstDash val="solid"/>
          </a:ln>
        </c:spPr>
        <c:txPr>
          <a:bodyPr/>
          <a:lstStyle/>
          <a:p>
            <a:pPr rtl="0">
              <a:defRPr sz="1000" b="0" i="0" u="none" strike="noStrike" baseline="0">
                <a:solidFill>
                  <a:srgbClr val="000000"/>
                </a:solidFill>
                <a:latin typeface="Arial"/>
                <a:ea typeface="Arial"/>
                <a:cs typeface="Arial"/>
              </a:defRPr>
            </a:pPr>
            <a:endParaRPr lang="lt-LT"/>
          </a:p>
        </c:txPr>
      </c:dTable>
      <c:spPr>
        <a:noFill/>
        <a:ln w="25400">
          <a:noFill/>
        </a:ln>
      </c:spPr>
    </c:plotArea>
    <c:plotVisOnly val="1"/>
    <c:dispBlanksAs val="gap"/>
  </c:chart>
  <c:spPr>
    <a:solidFill>
      <a:schemeClr val="accent6">
        <a:lumMod val="40000"/>
        <a:lumOff val="60000"/>
      </a:schemeClr>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lang="en-US" sz="1200" b="1" i="1" u="none" strike="noStrike" baseline="0">
                <a:solidFill>
                  <a:srgbClr val="000000"/>
                </a:solidFill>
                <a:latin typeface="Times New Roman" pitchFamily="18" charset="0"/>
                <a:ea typeface="Arial"/>
                <a:cs typeface="Times New Roman" pitchFamily="18" charset="0"/>
              </a:defRPr>
            </a:pPr>
            <a:r>
              <a:rPr lang="lt-LT" sz="1200" i="1">
                <a:latin typeface="Times New Roman" pitchFamily="18" charset="0"/>
                <a:cs typeface="Times New Roman" pitchFamily="18" charset="0"/>
              </a:rPr>
              <a:t>Savivaldybės</a:t>
            </a:r>
            <a:r>
              <a:rPr lang="lt-LT" sz="1200" i="1" baseline="0">
                <a:latin typeface="Times New Roman" pitchFamily="18" charset="0"/>
                <a:cs typeface="Times New Roman" pitchFamily="18" charset="0"/>
              </a:rPr>
              <a:t> </a:t>
            </a:r>
            <a:r>
              <a:rPr lang="lt-LT" sz="1200" i="1">
                <a:latin typeface="Times New Roman" pitchFamily="18" charset="0"/>
                <a:cs typeface="Times New Roman" pitchFamily="18" charset="0"/>
              </a:rPr>
              <a:t> turto struktūra 
2015 m. gruodžio  31 d. (balansinė vertė tūkst. Eur)</a:t>
            </a:r>
          </a:p>
        </c:rich>
      </c:tx>
      <c:layout>
        <c:manualLayout>
          <c:xMode val="edge"/>
          <c:yMode val="edge"/>
          <c:x val="0.21742293664593887"/>
          <c:y val="3.8685620884215892E-2"/>
        </c:manualLayout>
      </c:layout>
      <c:spPr>
        <a:noFill/>
        <a:ln w="25400">
          <a:noFill/>
        </a:ln>
      </c:spPr>
    </c:title>
    <c:plotArea>
      <c:layout>
        <c:manualLayout>
          <c:layoutTarget val="inner"/>
          <c:xMode val="edge"/>
          <c:yMode val="edge"/>
          <c:x val="0.22899524186834308"/>
          <c:y val="0.31335191554187014"/>
          <c:w val="0.31630997437929737"/>
          <c:h val="0.52316145899163757"/>
        </c:manualLayout>
      </c:layout>
      <c:pieChart>
        <c:varyColors val="1"/>
        <c:ser>
          <c:idx val="0"/>
          <c:order val="0"/>
          <c:spPr>
            <a:solidFill>
              <a:srgbClr val="9999FF"/>
            </a:solidFill>
            <a:ln w="12700">
              <a:solidFill>
                <a:srgbClr val="000000"/>
              </a:solidFill>
              <a:prstDash val="solid"/>
            </a:ln>
          </c:spPr>
          <c:dPt>
            <c:idx val="1"/>
            <c:spPr>
              <a:solidFill>
                <a:srgbClr val="993366"/>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Pt>
            <c:idx val="5"/>
            <c:spPr>
              <a:solidFill>
                <a:srgbClr val="FF8080"/>
              </a:solidFill>
              <a:ln w="12700">
                <a:solidFill>
                  <a:srgbClr val="000000"/>
                </a:solidFill>
                <a:prstDash val="solid"/>
              </a:ln>
            </c:spPr>
          </c:dPt>
          <c:dPt>
            <c:idx val="6"/>
            <c:spPr>
              <a:solidFill>
                <a:srgbClr val="0066CC"/>
              </a:solidFill>
              <a:ln w="12700">
                <a:solidFill>
                  <a:srgbClr val="000000"/>
                </a:solidFill>
                <a:prstDash val="solid"/>
              </a:ln>
            </c:spPr>
          </c:dPt>
          <c:dPt>
            <c:idx val="7"/>
            <c:spPr>
              <a:solidFill>
                <a:srgbClr val="CCCCFF"/>
              </a:solidFill>
              <a:ln w="12700">
                <a:solidFill>
                  <a:srgbClr val="000000"/>
                </a:solidFill>
                <a:prstDash val="solid"/>
              </a:ln>
            </c:spPr>
          </c:dPt>
          <c:dPt>
            <c:idx val="8"/>
            <c:spPr>
              <a:solidFill>
                <a:srgbClr val="000080"/>
              </a:solidFill>
              <a:ln w="12700">
                <a:solidFill>
                  <a:srgbClr val="000000"/>
                </a:solidFill>
                <a:prstDash val="solid"/>
              </a:ln>
            </c:spPr>
          </c:dPt>
          <c:dPt>
            <c:idx val="9"/>
            <c:spPr>
              <a:solidFill>
                <a:srgbClr val="FF00FF"/>
              </a:solidFill>
              <a:ln w="12700">
                <a:solidFill>
                  <a:srgbClr val="000000"/>
                </a:solidFill>
                <a:prstDash val="solid"/>
              </a:ln>
            </c:spPr>
          </c:dPt>
          <c:dPt>
            <c:idx val="10"/>
            <c:spPr>
              <a:solidFill>
                <a:srgbClr val="FFFF00"/>
              </a:solidFill>
              <a:ln w="12700">
                <a:solidFill>
                  <a:srgbClr val="000000"/>
                </a:solidFill>
                <a:prstDash val="solid"/>
              </a:ln>
            </c:spPr>
          </c:dPt>
          <c:dLbls>
            <c:dLbl>
              <c:idx val="0"/>
              <c:layout>
                <c:manualLayout>
                  <c:x val="8.1449923158731188E-2"/>
                  <c:y val="-0.10852019739220774"/>
                </c:manualLayout>
              </c:layout>
              <c:dLblPos val="bestFit"/>
              <c:showLegendKey val="1"/>
              <c:showVal val="1"/>
            </c:dLbl>
            <c:dLbl>
              <c:idx val="1"/>
              <c:layout>
                <c:manualLayout>
                  <c:x val="0.11652163862366566"/>
                  <c:y val="-4.1776773928131991E-2"/>
                </c:manualLayout>
              </c:layout>
              <c:dLblPos val="bestFit"/>
              <c:showLegendKey val="1"/>
              <c:showVal val="1"/>
            </c:dLbl>
            <c:dLbl>
              <c:idx val="4"/>
              <c:layout>
                <c:manualLayout>
                  <c:x val="-0.10183290790293052"/>
                  <c:y val="0.10058608301476345"/>
                </c:manualLayout>
              </c:layout>
              <c:dLblPos val="bestFit"/>
              <c:showLegendKey val="1"/>
              <c:showVal val="1"/>
            </c:dLbl>
            <c:dLbl>
              <c:idx val="5"/>
              <c:layout>
                <c:manualLayout>
                  <c:x val="-0.10941548959184254"/>
                  <c:y val="2.3716410389575671E-2"/>
                </c:manualLayout>
              </c:layout>
              <c:dLblPos val="bestFit"/>
              <c:showLegendKey val="1"/>
              <c:showVal val="1"/>
            </c:dLbl>
            <c:dLbl>
              <c:idx val="6"/>
              <c:layout>
                <c:manualLayout>
                  <c:x val="-0.12669508682346844"/>
                  <c:y val="-4.5304119883750264E-2"/>
                </c:manualLayout>
              </c:layout>
              <c:dLblPos val="bestFit"/>
              <c:showLegendKey val="1"/>
              <c:showVal val="1"/>
            </c:dLbl>
            <c:dLbl>
              <c:idx val="7"/>
              <c:layout>
                <c:manualLayout>
                  <c:x val="-0.11695828777093092"/>
                  <c:y val="-0.11867146463234785"/>
                </c:manualLayout>
              </c:layout>
              <c:dLblPos val="bestFit"/>
              <c:showLegendKey val="1"/>
              <c:showVal val="1"/>
            </c:dLbl>
            <c:dLbl>
              <c:idx val="8"/>
              <c:layout>
                <c:manualLayout>
                  <c:x val="-0.12139039835933996"/>
                  <c:y val="-0.18398772855052944"/>
                </c:manualLayout>
              </c:layout>
              <c:dLblPos val="bestFit"/>
              <c:showLegendKey val="1"/>
              <c:showVal val="1"/>
            </c:dLbl>
            <c:dLbl>
              <c:idx val="9"/>
              <c:layout>
                <c:manualLayout>
                  <c:x val="-5.3243391305058826E-2"/>
                  <c:y val="-0.14023675070919298"/>
                </c:manualLayout>
              </c:layout>
              <c:dLblPos val="bestFit"/>
              <c:showLegendKey val="1"/>
              <c:showVal val="1"/>
            </c:dLbl>
            <c:dLbl>
              <c:idx val="10"/>
              <c:layout>
                <c:manualLayout>
                  <c:x val="-8.3379945868790068E-3"/>
                  <c:y val="-0.11436085058377242"/>
                </c:manualLayout>
              </c:layout>
              <c:dLblPos val="bestFit"/>
              <c:showLegendKey val="1"/>
              <c:showVal val="1"/>
            </c:dLbl>
            <c:spPr>
              <a:noFill/>
              <a:ln w="25400">
                <a:noFill/>
              </a:ln>
            </c:spPr>
            <c:txPr>
              <a:bodyPr/>
              <a:lstStyle/>
              <a:p>
                <a:pPr>
                  <a:defRPr lang="en-US" sz="1000" b="0" i="0" u="none" strike="noStrike" baseline="0">
                    <a:solidFill>
                      <a:srgbClr val="000000"/>
                    </a:solidFill>
                    <a:latin typeface="Arial"/>
                    <a:ea typeface="Arial"/>
                    <a:cs typeface="Arial"/>
                  </a:defRPr>
                </a:pPr>
                <a:endParaRPr lang="lt-LT"/>
              </a:p>
            </c:txPr>
            <c:showLegendKey val="1"/>
            <c:showVal val="1"/>
            <c:showLeaderLines val="1"/>
          </c:dLbls>
          <c:cat>
            <c:strRef>
              <c:f>turtas2015!$A$3:$A$14</c:f>
              <c:strCache>
                <c:ptCount val="12"/>
                <c:pt idx="0">
                  <c:v>Atsargos                         326,1 tūkst.Eur</c:v>
                </c:pt>
                <c:pt idx="1">
                  <c:v>Žemė                                 9,4 tūkst. Eur</c:v>
                </c:pt>
                <c:pt idx="2">
                  <c:v>Gyvenamieji pastatai       652,3 tūkst. Eur</c:v>
                </c:pt>
                <c:pt idx="3">
                  <c:v>Kiti pastatai                    7645,0 tūkst. Eur</c:v>
                </c:pt>
                <c:pt idx="4">
                  <c:v>Infrastruktūros statiniai 11120,0  tūkst. Eur</c:v>
                </c:pt>
                <c:pt idx="5">
                  <c:v>Mašinos ir įrenginiai         174,8 tūkst. Eur </c:v>
                </c:pt>
                <c:pt idx="6">
                  <c:v>Transporto priemonės        68,3 tūkst. Eur</c:v>
                </c:pt>
                <c:pt idx="7">
                  <c:v>Kilnojamosios vertybės      28,8  tūkst. Eur</c:v>
                </c:pt>
                <c:pt idx="8">
                  <c:v>Baldai ir biuro įranga      125,1   tūkst. Eur</c:v>
                </c:pt>
                <c:pt idx="9">
                  <c:v>Kitas materialusis turtas   728,4 tūkst. Eur</c:v>
                </c:pt>
                <c:pt idx="10">
                  <c:v>Nebaigta statyba           2275,2 tūkst. Eur</c:v>
                </c:pt>
                <c:pt idx="11">
                  <c:v>Nematerialusis turtas       230,0 tūkst. Eur</c:v>
                </c:pt>
              </c:strCache>
            </c:strRef>
          </c:cat>
          <c:val>
            <c:numRef>
              <c:f>turtas2015!$B$3:$B$14</c:f>
              <c:numCache>
                <c:formatCode>0.0</c:formatCode>
                <c:ptCount val="12"/>
                <c:pt idx="0" formatCode="General">
                  <c:v>326.10000000000002</c:v>
                </c:pt>
                <c:pt idx="1">
                  <c:v>9.4</c:v>
                </c:pt>
                <c:pt idx="2">
                  <c:v>652.29999999999995</c:v>
                </c:pt>
                <c:pt idx="3">
                  <c:v>7645</c:v>
                </c:pt>
                <c:pt idx="4">
                  <c:v>11120</c:v>
                </c:pt>
                <c:pt idx="5">
                  <c:v>174.8</c:v>
                </c:pt>
                <c:pt idx="6">
                  <c:v>68.3</c:v>
                </c:pt>
                <c:pt idx="7">
                  <c:v>28.8</c:v>
                </c:pt>
                <c:pt idx="8">
                  <c:v>125.1</c:v>
                </c:pt>
                <c:pt idx="9">
                  <c:v>728.4</c:v>
                </c:pt>
                <c:pt idx="10">
                  <c:v>2275.1999999999998</c:v>
                </c:pt>
                <c:pt idx="11">
                  <c:v>230.2</c:v>
                </c:pt>
              </c:numCache>
            </c:numRef>
          </c:val>
        </c:ser>
        <c:dLbls>
          <c:showLegendKey val="1"/>
          <c:showVal val="1"/>
        </c:dLbls>
        <c:firstSliceAng val="0"/>
      </c:pieChart>
      <c:spPr>
        <a:noFill/>
        <a:ln w="25400">
          <a:noFill/>
        </a:ln>
      </c:spPr>
    </c:plotArea>
    <c:legend>
      <c:legendPos val="r"/>
      <c:layout>
        <c:manualLayout>
          <c:xMode val="edge"/>
          <c:yMode val="edge"/>
          <c:x val="0.5641672804399932"/>
          <c:y val="0.13737004798228347"/>
          <c:w val="0.42093169525458546"/>
          <c:h val="0.84765727526246704"/>
        </c:manualLayout>
      </c:layout>
      <c:spPr>
        <a:solidFill>
          <a:srgbClr val="FFFFFF"/>
        </a:solidFill>
        <a:ln w="3175">
          <a:solidFill>
            <a:srgbClr val="000000"/>
          </a:solidFill>
          <a:prstDash val="solid"/>
        </a:ln>
      </c:spPr>
      <c:txPr>
        <a:bodyPr/>
        <a:lstStyle/>
        <a:p>
          <a:pPr>
            <a:defRPr lang="en-US" sz="1000" b="0" i="0" u="none" strike="noStrike" baseline="0">
              <a:solidFill>
                <a:srgbClr val="000000"/>
              </a:solidFill>
              <a:latin typeface="Arial"/>
              <a:ea typeface="Arial"/>
              <a:cs typeface="Arial"/>
            </a:defRPr>
          </a:pPr>
          <a:endParaRPr lang="lt-LT"/>
        </a:p>
      </c:txPr>
    </c:legend>
    <c:plotVisOnly val="1"/>
    <c:dispBlanksAs val="zero"/>
  </c:chart>
  <c:spPr>
    <a:gradFill rotWithShape="0">
      <a:gsLst>
        <a:gs pos="0">
          <a:srgbClr val="FFEFD1"/>
        </a:gs>
        <a:gs pos="64999">
          <a:srgbClr val="F0EBD5"/>
        </a:gs>
        <a:gs pos="100000">
          <a:srgbClr val="D1C39F"/>
        </a:gs>
      </a:gsLst>
      <a:lin ang="5400000"/>
    </a:gradFill>
    <a:ln w="3175">
      <a:solidFill>
        <a:srgbClr val="000000"/>
      </a:solidFill>
      <a:prstDash val="solid"/>
    </a:ln>
  </c:spPr>
  <c:txPr>
    <a:bodyPr/>
    <a:lstStyle/>
    <a:p>
      <a:pPr>
        <a:defRPr sz="1200" b="0" i="0" u="none" strike="noStrike" baseline="0">
          <a:solidFill>
            <a:srgbClr val="000000"/>
          </a:solidFill>
          <a:latin typeface="Arial"/>
          <a:ea typeface="Arial"/>
          <a:cs typeface="Arial"/>
        </a:defRPr>
      </a:pPr>
      <a:endParaRPr lang="lt-LT"/>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lgn="ctr">
              <a:defRPr lang="en-US" sz="1000" b="1" i="0" u="none" strike="noStrike" baseline="0">
                <a:solidFill>
                  <a:srgbClr val="000000"/>
                </a:solidFill>
                <a:latin typeface="Arial"/>
                <a:ea typeface="Arial"/>
                <a:cs typeface="Arial"/>
              </a:defRPr>
            </a:pPr>
            <a:r>
              <a:rPr lang="lt-LT"/>
              <a:t>Savivaldybės </a:t>
            </a:r>
            <a:r>
              <a:rPr lang="lt-LT" baseline="0"/>
              <a:t> </a:t>
            </a:r>
            <a:r>
              <a:rPr lang="lt-LT"/>
              <a:t>turto pokyčiai </a:t>
            </a:r>
          </a:p>
          <a:p>
            <a:pPr algn="ctr">
              <a:defRPr lang="en-US" sz="1000" b="1" i="0" u="none" strike="noStrike" baseline="0">
                <a:solidFill>
                  <a:srgbClr val="000000"/>
                </a:solidFill>
                <a:latin typeface="Arial"/>
                <a:ea typeface="Arial"/>
                <a:cs typeface="Arial"/>
              </a:defRPr>
            </a:pPr>
            <a:r>
              <a:rPr lang="lt-LT"/>
              <a:t>2013 m. - 2015 m. 
(balansinė vertė tūkst. Eur)</a:t>
            </a:r>
          </a:p>
        </c:rich>
      </c:tx>
      <c:layout>
        <c:manualLayout>
          <c:xMode val="edge"/>
          <c:yMode val="edge"/>
          <c:x val="0.14977968983715872"/>
          <c:y val="1.2624671916010648E-3"/>
        </c:manualLayout>
      </c:layout>
      <c:spPr>
        <a:noFill/>
        <a:ln w="25400">
          <a:noFill/>
        </a:ln>
      </c:spPr>
    </c:title>
    <c:view3D>
      <c:rotX val="16"/>
      <c:hPercent val="34"/>
      <c:rotY val="37"/>
      <c:depthPercent val="100"/>
      <c:rAngAx val="1"/>
    </c:view3D>
    <c:floor>
      <c:spPr>
        <a:solidFill>
          <a:srgbClr val="C0C0C0"/>
        </a:solidFill>
        <a:ln w="3175">
          <a:solidFill>
            <a:srgbClr val="000000"/>
          </a:solidFill>
          <a:prstDash val="solid"/>
        </a:ln>
      </c:spPr>
    </c:floor>
    <c:sideWall>
      <c:spPr>
        <a:blipFill>
          <a:blip xmlns:r="http://schemas.openxmlformats.org/officeDocument/2006/relationships" r:embed="rId1"/>
          <a:tile tx="0" ty="0" sx="100000" sy="100000" flip="none" algn="tl"/>
        </a:blipFill>
        <a:ln w="12700">
          <a:solidFill>
            <a:schemeClr val="tx1"/>
          </a:solidFill>
          <a:prstDash val="solid"/>
        </a:ln>
        <a:scene3d>
          <a:camera prst="orthographicFront"/>
          <a:lightRig rig="threePt" dir="t"/>
        </a:scene3d>
        <a:sp3d prstMaterial="matte"/>
      </c:spPr>
    </c:sideWall>
    <c:backWall>
      <c:spPr>
        <a:blipFill>
          <a:blip xmlns:r="http://schemas.openxmlformats.org/officeDocument/2006/relationships" r:embed="rId1"/>
          <a:tile tx="0" ty="0" sx="100000" sy="100000" flip="none" algn="tl"/>
        </a:blipFill>
        <a:ln w="12700">
          <a:solidFill>
            <a:schemeClr val="tx1"/>
          </a:solidFill>
          <a:prstDash val="solid"/>
        </a:ln>
        <a:scene3d>
          <a:camera prst="orthographicFront"/>
          <a:lightRig rig="threePt" dir="t"/>
        </a:scene3d>
        <a:sp3d prstMaterial="matte"/>
      </c:spPr>
    </c:backWall>
    <c:plotArea>
      <c:layout>
        <c:manualLayout>
          <c:layoutTarget val="inner"/>
          <c:xMode val="edge"/>
          <c:yMode val="edge"/>
          <c:x val="8.8455836868555626E-2"/>
          <c:y val="0.18611987381703632"/>
          <c:w val="0.90254938635373694"/>
          <c:h val="0.61198738170347"/>
        </c:manualLayout>
      </c:layout>
      <c:bar3DChart>
        <c:barDir val="col"/>
        <c:grouping val="clustered"/>
        <c:ser>
          <c:idx val="0"/>
          <c:order val="0"/>
          <c:tx>
            <c:strRef>
              <c:f>turtas2015!$B$28</c:f>
              <c:strCache>
                <c:ptCount val="1"/>
              </c:strCache>
            </c:strRef>
          </c:tx>
          <c:spPr>
            <a:gradFill rotWithShape="0">
              <a:gsLst>
                <a:gs pos="0">
                  <a:srgbClr val="00FFFF"/>
                </a:gs>
                <a:gs pos="100000">
                  <a:srgbClr val="00FFFF">
                    <a:gamma/>
                    <a:shade val="46275"/>
                    <a:invGamma/>
                  </a:srgbClr>
                </a:gs>
              </a:gsLst>
              <a:lin ang="5400000" scaled="1"/>
            </a:gradFill>
            <a:ln w="12700">
              <a:solidFill>
                <a:srgbClr val="000000"/>
              </a:solidFill>
              <a:prstDash val="solid"/>
            </a:ln>
          </c:spPr>
          <c:dLbls>
            <c:dLbl>
              <c:idx val="0"/>
              <c:layout>
                <c:manualLayout>
                  <c:x val="-4.2152230971129329E-3"/>
                  <c:y val="8.9220010289411525E-2"/>
                </c:manualLayout>
              </c:layout>
              <c:showVal val="1"/>
            </c:dLbl>
            <c:dLbl>
              <c:idx val="1"/>
              <c:layout>
                <c:manualLayout>
                  <c:x val="-8.3532808398951962E-3"/>
                  <c:y val="9.9004717433576625E-2"/>
                </c:manualLayout>
              </c:layout>
              <c:showVal val="1"/>
            </c:dLbl>
            <c:dLbl>
              <c:idx val="2"/>
              <c:layout>
                <c:manualLayout>
                  <c:x val="-5.1014873140856594E-3"/>
                  <c:y val="0.11008310007760659"/>
                </c:manualLayout>
              </c:layout>
              <c:showVal val="1"/>
            </c:dLbl>
            <c:spPr>
              <a:noFill/>
              <a:ln w="25400">
                <a:noFill/>
              </a:ln>
            </c:spPr>
            <c:txPr>
              <a:bodyPr/>
              <a:lstStyle/>
              <a:p>
                <a:pPr>
                  <a:defRPr lang="en-US" sz="800" b="1" i="0" u="none" strike="noStrike" baseline="0">
                    <a:solidFill>
                      <a:srgbClr val="000000"/>
                    </a:solidFill>
                    <a:latin typeface="Arial"/>
                    <a:ea typeface="Arial"/>
                    <a:cs typeface="Arial"/>
                  </a:defRPr>
                </a:pPr>
                <a:endParaRPr lang="lt-LT"/>
              </a:p>
            </c:txPr>
            <c:showVal val="1"/>
          </c:dLbls>
          <c:cat>
            <c:strRef>
              <c:f>turtas2015!$A$29:$A$31</c:f>
              <c:strCache>
                <c:ptCount val="3"/>
                <c:pt idx="0">
                  <c:v>2013 m.</c:v>
                </c:pt>
                <c:pt idx="1">
                  <c:v>2014 m.</c:v>
                </c:pt>
                <c:pt idx="2">
                  <c:v>2015 m.</c:v>
                </c:pt>
              </c:strCache>
            </c:strRef>
          </c:cat>
          <c:val>
            <c:numRef>
              <c:f>turtas2015!$B$29:$B$31</c:f>
              <c:numCache>
                <c:formatCode>General</c:formatCode>
                <c:ptCount val="3"/>
                <c:pt idx="0">
                  <c:v>21509.9</c:v>
                </c:pt>
                <c:pt idx="1">
                  <c:v>21432.799999999996</c:v>
                </c:pt>
                <c:pt idx="2">
                  <c:v>23383.599999999897</c:v>
                </c:pt>
              </c:numCache>
            </c:numRef>
          </c:val>
        </c:ser>
        <c:ser>
          <c:idx val="1"/>
          <c:order val="1"/>
          <c:tx>
            <c:strRef>
              <c:f>turtas2015!$C$28</c:f>
              <c:strCache>
                <c:ptCount val="1"/>
              </c:strCache>
            </c:strRef>
          </c:tx>
          <c:spPr>
            <a:solidFill>
              <a:srgbClr val="FF9900"/>
            </a:solidFill>
            <a:ln w="12700">
              <a:solidFill>
                <a:srgbClr val="000000"/>
              </a:solidFill>
              <a:prstDash val="solid"/>
            </a:ln>
          </c:spPr>
          <c:dLbls>
            <c:dLbl>
              <c:idx val="0"/>
              <c:layout>
                <c:manualLayout>
                  <c:x val="4.8568880406990783E-2"/>
                  <c:y val="-8.3049256066966406E-2"/>
                </c:manualLayout>
              </c:layout>
              <c:showVal val="1"/>
            </c:dLbl>
            <c:dLbl>
              <c:idx val="1"/>
              <c:layout>
                <c:manualLayout>
                  <c:x val="4.1375794563151866E-2"/>
                  <c:y val="-7.0402808481747292E-2"/>
                </c:manualLayout>
              </c:layout>
              <c:showVal val="1"/>
            </c:dLbl>
            <c:dLbl>
              <c:idx val="2"/>
              <c:layout>
                <c:manualLayout>
                  <c:x val="4.0129815004412366E-2"/>
                  <c:y val="-6.1195095092608703E-2"/>
                </c:manualLayout>
              </c:layout>
              <c:showVal val="1"/>
            </c:dLbl>
            <c:spPr>
              <a:solidFill>
                <a:srgbClr val="FFFF99"/>
              </a:solidFill>
              <a:ln w="25400">
                <a:noFill/>
              </a:ln>
            </c:spPr>
            <c:txPr>
              <a:bodyPr/>
              <a:lstStyle/>
              <a:p>
                <a:pPr>
                  <a:defRPr lang="en-US" sz="800" b="0" i="0" u="none" strike="noStrike" baseline="0">
                    <a:solidFill>
                      <a:srgbClr val="000000"/>
                    </a:solidFill>
                    <a:latin typeface="Arial"/>
                    <a:ea typeface="Arial"/>
                    <a:cs typeface="Arial"/>
                  </a:defRPr>
                </a:pPr>
                <a:endParaRPr lang="lt-LT"/>
              </a:p>
            </c:txPr>
            <c:showVal val="1"/>
          </c:dLbls>
          <c:cat>
            <c:strRef>
              <c:f>turtas2015!$A$29:$A$31</c:f>
              <c:strCache>
                <c:ptCount val="3"/>
                <c:pt idx="0">
                  <c:v>2013 m.</c:v>
                </c:pt>
                <c:pt idx="1">
                  <c:v>2014 m.</c:v>
                </c:pt>
                <c:pt idx="2">
                  <c:v>2015 m.</c:v>
                </c:pt>
              </c:strCache>
            </c:strRef>
          </c:cat>
          <c:val>
            <c:numRef>
              <c:f>turtas2015!$C$29:$C$31</c:f>
              <c:numCache>
                <c:formatCode>General</c:formatCode>
                <c:ptCount val="3"/>
              </c:numCache>
            </c:numRef>
          </c:val>
        </c:ser>
        <c:dLbls>
          <c:showVal val="1"/>
        </c:dLbls>
        <c:shape val="box"/>
        <c:axId val="167979648"/>
        <c:axId val="167989632"/>
        <c:axId val="0"/>
      </c:bar3DChart>
      <c:catAx>
        <c:axId val="167979648"/>
        <c:scaling>
          <c:orientation val="minMax"/>
        </c:scaling>
        <c:axPos val="b"/>
        <c:numFmt formatCode="General" sourceLinked="1"/>
        <c:tickLblPos val="low"/>
        <c:spPr>
          <a:ln w="3175">
            <a:solidFill>
              <a:srgbClr val="000000"/>
            </a:solidFill>
            <a:prstDash val="solid"/>
          </a:ln>
        </c:spPr>
        <c:txPr>
          <a:bodyPr rot="0" vert="horz"/>
          <a:lstStyle/>
          <a:p>
            <a:pPr>
              <a:defRPr lang="en-US" sz="800" b="1" i="0" u="none" strike="noStrike" baseline="0">
                <a:solidFill>
                  <a:srgbClr val="000000"/>
                </a:solidFill>
                <a:latin typeface="Arial"/>
                <a:ea typeface="Arial"/>
                <a:cs typeface="Arial"/>
              </a:defRPr>
            </a:pPr>
            <a:endParaRPr lang="lt-LT"/>
          </a:p>
        </c:txPr>
        <c:crossAx val="167989632"/>
        <c:crossesAt val="0"/>
        <c:auto val="1"/>
        <c:lblAlgn val="ctr"/>
        <c:lblOffset val="100"/>
        <c:tickLblSkip val="1"/>
        <c:tickMarkSkip val="1"/>
      </c:catAx>
      <c:valAx>
        <c:axId val="167989632"/>
        <c:scaling>
          <c:orientation val="minMax"/>
        </c:scaling>
        <c:delete val="1"/>
        <c:axPos val="l"/>
        <c:numFmt formatCode="General" sourceLinked="1"/>
        <c:tickLblPos val="none"/>
        <c:crossAx val="167979648"/>
        <c:crosses val="autoZero"/>
        <c:crossBetween val="between"/>
      </c:valAx>
      <c:spPr>
        <a:noFill/>
        <a:ln w="25400">
          <a:noFill/>
        </a:ln>
      </c:spPr>
    </c:plotArea>
    <c:plotVisOnly val="1"/>
    <c:dispBlanksAs val="gap"/>
  </c:chart>
  <c:spPr>
    <a:blipFill>
      <a:blip xmlns:r="http://schemas.openxmlformats.org/officeDocument/2006/relationships" r:embed="rId1"/>
      <a:tile tx="0" ty="0" sx="100000" sy="100000" flip="none" algn="tl"/>
    </a:blipFill>
    <a:ln>
      <a:solidFill>
        <a:srgbClr val="000000"/>
      </a:solidFill>
    </a:ln>
    <a:scene3d>
      <a:camera prst="orthographicFront"/>
      <a:lightRig rig="threePt" dir="t"/>
    </a:scene3d>
    <a:sp3d>
      <a:bevelB prst="relaxedInset"/>
    </a:sp3d>
  </c:spPr>
  <c:txPr>
    <a:bodyPr/>
    <a:lstStyle/>
    <a:p>
      <a:pPr>
        <a:defRPr sz="1175" b="0" i="0" u="none" strike="noStrike" baseline="0">
          <a:solidFill>
            <a:srgbClr val="000000"/>
          </a:solidFill>
          <a:latin typeface="Arial"/>
          <a:ea typeface="Arial"/>
          <a:cs typeface="Arial"/>
        </a:defRPr>
      </a:pPr>
      <a:endParaRPr lang="lt-LT"/>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lt-LT"/>
  <c:style val="8"/>
  <c:chart>
    <c:plotArea>
      <c:layout/>
      <c:barChart>
        <c:barDir val="bar"/>
        <c:grouping val="clustered"/>
        <c:ser>
          <c:idx val="0"/>
          <c:order val="0"/>
          <c:tx>
            <c:strRef>
              <c:f>'turto (2)'!$B$3</c:f>
              <c:strCache>
                <c:ptCount val="1"/>
                <c:pt idx="0">
                  <c:v>2013 m.</c:v>
                </c:pt>
              </c:strCache>
            </c:strRef>
          </c:tx>
          <c:spPr>
            <a:blipFill>
              <a:blip xmlns:r="http://schemas.openxmlformats.org/officeDocument/2006/relationships" r:embed="rId1"/>
              <a:tile tx="0" ty="0" sx="100000" sy="100000" flip="none" algn="tl"/>
            </a:blipFill>
          </c:spPr>
          <c:cat>
            <c:strRef>
              <c:f>'turto (2)'!$A$4:$A$15</c:f>
              <c:strCache>
                <c:ptCount val="12"/>
                <c:pt idx="0">
                  <c:v>Žemė                                 </c:v>
                </c:pt>
                <c:pt idx="1">
                  <c:v>Gyvenamieji pastatai     </c:v>
                </c:pt>
                <c:pt idx="2">
                  <c:v>Kiti pastatai                   </c:v>
                </c:pt>
                <c:pt idx="3">
                  <c:v>Infrastruktūros statiniai </c:v>
                </c:pt>
                <c:pt idx="4">
                  <c:v>Mašinos ir įrenginiai       </c:v>
                </c:pt>
                <c:pt idx="5">
                  <c:v>Transporto priemonės       </c:v>
                </c:pt>
                <c:pt idx="6">
                  <c:v>Kilnojamosios vertybės     </c:v>
                </c:pt>
                <c:pt idx="7">
                  <c:v>Baldai ir biuro įranga      </c:v>
                </c:pt>
                <c:pt idx="8">
                  <c:v>Kitas materialusis turtas   </c:v>
                </c:pt>
                <c:pt idx="9">
                  <c:v>Nebaigta statyba           </c:v>
                </c:pt>
                <c:pt idx="10">
                  <c:v>Nematerialusis turtas      </c:v>
                </c:pt>
                <c:pt idx="11">
                  <c:v>Atsargos                       </c:v>
                </c:pt>
              </c:strCache>
            </c:strRef>
          </c:cat>
          <c:val>
            <c:numRef>
              <c:f>'turto (2)'!$B$4:$B$15</c:f>
              <c:numCache>
                <c:formatCode>General</c:formatCode>
                <c:ptCount val="12"/>
                <c:pt idx="0">
                  <c:v>7323.3</c:v>
                </c:pt>
                <c:pt idx="1">
                  <c:v>651.4</c:v>
                </c:pt>
                <c:pt idx="2">
                  <c:v>7256</c:v>
                </c:pt>
                <c:pt idx="3">
                  <c:v>9182.1</c:v>
                </c:pt>
                <c:pt idx="4">
                  <c:v>176.3</c:v>
                </c:pt>
                <c:pt idx="5">
                  <c:v>75.5</c:v>
                </c:pt>
                <c:pt idx="6">
                  <c:v>28.8</c:v>
                </c:pt>
                <c:pt idx="7">
                  <c:v>223.8</c:v>
                </c:pt>
                <c:pt idx="8">
                  <c:v>868.9</c:v>
                </c:pt>
                <c:pt idx="9">
                  <c:v>2372.1999999999998</c:v>
                </c:pt>
                <c:pt idx="10">
                  <c:v>572.4</c:v>
                </c:pt>
                <c:pt idx="11">
                  <c:v>277.10000000000002</c:v>
                </c:pt>
              </c:numCache>
            </c:numRef>
          </c:val>
        </c:ser>
        <c:ser>
          <c:idx val="1"/>
          <c:order val="1"/>
          <c:tx>
            <c:strRef>
              <c:f>'turto (2)'!$C$3</c:f>
              <c:strCache>
                <c:ptCount val="1"/>
                <c:pt idx="0">
                  <c:v>2014 m.</c:v>
                </c:pt>
              </c:strCache>
            </c:strRef>
          </c:tx>
          <c:spPr>
            <a:blipFill>
              <a:blip xmlns:r="http://schemas.openxmlformats.org/officeDocument/2006/relationships" r:embed="rId2"/>
              <a:tile tx="0" ty="0" sx="100000" sy="100000" flip="none" algn="tl"/>
            </a:blipFill>
          </c:spPr>
          <c:cat>
            <c:strRef>
              <c:f>'turto (2)'!$A$4:$A$15</c:f>
              <c:strCache>
                <c:ptCount val="12"/>
                <c:pt idx="0">
                  <c:v>Žemė                                 </c:v>
                </c:pt>
                <c:pt idx="1">
                  <c:v>Gyvenamieji pastatai     </c:v>
                </c:pt>
                <c:pt idx="2">
                  <c:v>Kiti pastatai                   </c:v>
                </c:pt>
                <c:pt idx="3">
                  <c:v>Infrastruktūros statiniai </c:v>
                </c:pt>
                <c:pt idx="4">
                  <c:v>Mašinos ir įrenginiai       </c:v>
                </c:pt>
                <c:pt idx="5">
                  <c:v>Transporto priemonės       </c:v>
                </c:pt>
                <c:pt idx="6">
                  <c:v>Kilnojamosios vertybės     </c:v>
                </c:pt>
                <c:pt idx="7">
                  <c:v>Baldai ir biuro įranga      </c:v>
                </c:pt>
                <c:pt idx="8">
                  <c:v>Kitas materialusis turtas   </c:v>
                </c:pt>
                <c:pt idx="9">
                  <c:v>Nebaigta statyba           </c:v>
                </c:pt>
                <c:pt idx="10">
                  <c:v>Nematerialusis turtas      </c:v>
                </c:pt>
                <c:pt idx="11">
                  <c:v>Atsargos                       </c:v>
                </c:pt>
              </c:strCache>
            </c:strRef>
          </c:cat>
          <c:val>
            <c:numRef>
              <c:f>'turto (2)'!$C$4:$C$15</c:f>
              <c:numCache>
                <c:formatCode>General</c:formatCode>
                <c:ptCount val="12"/>
                <c:pt idx="0">
                  <c:v>4826.2</c:v>
                </c:pt>
                <c:pt idx="1">
                  <c:v>660.8</c:v>
                </c:pt>
                <c:pt idx="2">
                  <c:v>7685</c:v>
                </c:pt>
                <c:pt idx="3">
                  <c:v>9930.9</c:v>
                </c:pt>
                <c:pt idx="4">
                  <c:v>185.7</c:v>
                </c:pt>
                <c:pt idx="5">
                  <c:v>54.4</c:v>
                </c:pt>
                <c:pt idx="6">
                  <c:v>28.8</c:v>
                </c:pt>
                <c:pt idx="7">
                  <c:v>177.8</c:v>
                </c:pt>
                <c:pt idx="8">
                  <c:v>689.7</c:v>
                </c:pt>
                <c:pt idx="9">
                  <c:v>1386.2</c:v>
                </c:pt>
                <c:pt idx="10">
                  <c:v>360.6</c:v>
                </c:pt>
                <c:pt idx="11">
                  <c:v>267.89999999999969</c:v>
                </c:pt>
              </c:numCache>
            </c:numRef>
          </c:val>
        </c:ser>
        <c:ser>
          <c:idx val="2"/>
          <c:order val="2"/>
          <c:tx>
            <c:strRef>
              <c:f>'turto (2)'!$D$3</c:f>
              <c:strCache>
                <c:ptCount val="1"/>
                <c:pt idx="0">
                  <c:v>2015 m. </c:v>
                </c:pt>
              </c:strCache>
            </c:strRef>
          </c:tx>
          <c:spPr>
            <a:blipFill>
              <a:blip xmlns:r="http://schemas.openxmlformats.org/officeDocument/2006/relationships" r:embed="rId3"/>
              <a:tile tx="0" ty="0" sx="100000" sy="100000" flip="none" algn="tl"/>
            </a:blipFill>
            <a:ln w="12700">
              <a:solidFill>
                <a:schemeClr val="accent4"/>
              </a:solidFill>
            </a:ln>
          </c:spPr>
          <c:cat>
            <c:strRef>
              <c:f>'turto (2)'!$A$4:$A$15</c:f>
              <c:strCache>
                <c:ptCount val="12"/>
                <c:pt idx="0">
                  <c:v>Žemė                                 </c:v>
                </c:pt>
                <c:pt idx="1">
                  <c:v>Gyvenamieji pastatai     </c:v>
                </c:pt>
                <c:pt idx="2">
                  <c:v>Kiti pastatai                   </c:v>
                </c:pt>
                <c:pt idx="3">
                  <c:v>Infrastruktūros statiniai </c:v>
                </c:pt>
                <c:pt idx="4">
                  <c:v>Mašinos ir įrenginiai       </c:v>
                </c:pt>
                <c:pt idx="5">
                  <c:v>Transporto priemonės       </c:v>
                </c:pt>
                <c:pt idx="6">
                  <c:v>Kilnojamosios vertybės     </c:v>
                </c:pt>
                <c:pt idx="7">
                  <c:v>Baldai ir biuro įranga      </c:v>
                </c:pt>
                <c:pt idx="8">
                  <c:v>Kitas materialusis turtas   </c:v>
                </c:pt>
                <c:pt idx="9">
                  <c:v>Nebaigta statyba           </c:v>
                </c:pt>
                <c:pt idx="10">
                  <c:v>Nematerialusis turtas      </c:v>
                </c:pt>
                <c:pt idx="11">
                  <c:v>Atsargos                       </c:v>
                </c:pt>
              </c:strCache>
            </c:strRef>
          </c:cat>
          <c:val>
            <c:numRef>
              <c:f>'turto (2)'!$D$4:$D$15</c:f>
              <c:numCache>
                <c:formatCode>General</c:formatCode>
                <c:ptCount val="12"/>
                <c:pt idx="0">
                  <c:v>9389.7999999999811</c:v>
                </c:pt>
                <c:pt idx="1">
                  <c:v>652.29999999999995</c:v>
                </c:pt>
                <c:pt idx="2">
                  <c:v>7645</c:v>
                </c:pt>
                <c:pt idx="3">
                  <c:v>11120</c:v>
                </c:pt>
                <c:pt idx="4">
                  <c:v>174.8</c:v>
                </c:pt>
                <c:pt idx="5">
                  <c:v>68.3</c:v>
                </c:pt>
                <c:pt idx="6">
                  <c:v>28.8</c:v>
                </c:pt>
                <c:pt idx="7">
                  <c:v>125.1</c:v>
                </c:pt>
                <c:pt idx="8">
                  <c:v>728.4</c:v>
                </c:pt>
                <c:pt idx="9">
                  <c:v>2275.1999999999998</c:v>
                </c:pt>
                <c:pt idx="10">
                  <c:v>230.2</c:v>
                </c:pt>
                <c:pt idx="11">
                  <c:v>326.10000000000002</c:v>
                </c:pt>
              </c:numCache>
            </c:numRef>
          </c:val>
        </c:ser>
        <c:axId val="168014976"/>
        <c:axId val="168016512"/>
      </c:barChart>
      <c:catAx>
        <c:axId val="168014976"/>
        <c:scaling>
          <c:orientation val="minMax"/>
        </c:scaling>
        <c:axPos val="l"/>
        <c:tickLblPos val="nextTo"/>
        <c:spPr>
          <a:gradFill>
            <a:gsLst>
              <a:gs pos="0">
                <a:srgbClr val="FFEFD1"/>
              </a:gs>
              <a:gs pos="60000">
                <a:srgbClr val="F0EBD5"/>
              </a:gs>
              <a:gs pos="100000">
                <a:srgbClr val="D1C39F"/>
              </a:gs>
            </a:gsLst>
            <a:lin ang="5400000" scaled="0"/>
          </a:gradFill>
        </c:spPr>
        <c:txPr>
          <a:bodyPr/>
          <a:lstStyle/>
          <a:p>
            <a:pPr>
              <a:defRPr lang="en-US"/>
            </a:pPr>
            <a:endParaRPr lang="lt-LT"/>
          </a:p>
        </c:txPr>
        <c:crossAx val="168016512"/>
        <c:crosses val="autoZero"/>
        <c:auto val="1"/>
        <c:lblAlgn val="ctr"/>
        <c:lblOffset val="100"/>
      </c:catAx>
      <c:valAx>
        <c:axId val="168016512"/>
        <c:scaling>
          <c:orientation val="minMax"/>
        </c:scaling>
        <c:axPos val="b"/>
        <c:majorGridlines/>
        <c:numFmt formatCode="General" sourceLinked="1"/>
        <c:tickLblPos val="nextTo"/>
        <c:txPr>
          <a:bodyPr/>
          <a:lstStyle/>
          <a:p>
            <a:pPr>
              <a:defRPr lang="en-US"/>
            </a:pPr>
            <a:endParaRPr lang="lt-LT"/>
          </a:p>
        </c:txPr>
        <c:crossAx val="168014976"/>
        <c:crosses val="autoZero"/>
        <c:crossBetween val="between"/>
      </c:valAx>
      <c:spPr>
        <a:gradFill>
          <a:gsLst>
            <a:gs pos="0">
              <a:srgbClr val="FFEFD1"/>
            </a:gs>
            <a:gs pos="60000">
              <a:srgbClr val="F0EBD5"/>
            </a:gs>
            <a:gs pos="100000">
              <a:srgbClr val="D1C39F"/>
            </a:gs>
          </a:gsLst>
          <a:lin ang="5400000" scaled="0"/>
        </a:gradFill>
        <a:ln>
          <a:noFill/>
        </a:ln>
      </c:spPr>
    </c:plotArea>
    <c:legend>
      <c:legendPos val="r"/>
      <c:txPr>
        <a:bodyPr/>
        <a:lstStyle/>
        <a:p>
          <a:pPr>
            <a:defRPr lang="en-US"/>
          </a:pPr>
          <a:endParaRPr lang="lt-LT"/>
        </a:p>
      </c:txPr>
    </c:legend>
    <c:plotVisOnly val="1"/>
  </c:chart>
  <c:externalData r:id="rId4"/>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lang="en-US" sz="1200"/>
            </a:pPr>
            <a:r>
              <a:rPr lang="lt-LT" sz="1200" baseline="0"/>
              <a:t>Asmenų ir šeimų, turinčių teisę į Savivaldybės socialinį būstą, skaičius 2015 m. gruodžio  31 d.</a:t>
            </a:r>
            <a:endParaRPr lang="lt-LT" sz="1200"/>
          </a:p>
        </c:rich>
      </c:tx>
      <c:layout>
        <c:manualLayout>
          <c:xMode val="edge"/>
          <c:yMode val="edge"/>
          <c:x val="9.5054276091211268E-2"/>
          <c:y val="1.4330840554478428E-2"/>
        </c:manualLayout>
      </c:layout>
    </c:title>
    <c:plotArea>
      <c:layout>
        <c:manualLayout>
          <c:layoutTarget val="inner"/>
          <c:xMode val="edge"/>
          <c:yMode val="edge"/>
          <c:x val="0.15555555555555556"/>
          <c:y val="0.24768518518518629"/>
          <c:w val="0.3504761904761905"/>
          <c:h val="0.63888888888889428"/>
        </c:manualLayout>
      </c:layout>
      <c:pieChart>
        <c:varyColors val="1"/>
        <c:ser>
          <c:idx val="0"/>
          <c:order val="0"/>
          <c:dPt>
            <c:idx val="0"/>
            <c:spPr>
              <a:solidFill>
                <a:srgbClr val="FF0000"/>
              </a:solidFill>
            </c:spPr>
          </c:dPt>
          <c:dPt>
            <c:idx val="2"/>
            <c:spPr>
              <a:solidFill>
                <a:schemeClr val="accent6">
                  <a:lumMod val="75000"/>
                </a:schemeClr>
              </a:solidFill>
            </c:spPr>
          </c:dPt>
          <c:dPt>
            <c:idx val="3"/>
            <c:spPr>
              <a:solidFill>
                <a:srgbClr val="00B0F0"/>
              </a:solidFill>
            </c:spPr>
          </c:dPt>
          <c:dPt>
            <c:idx val="4"/>
            <c:spPr>
              <a:solidFill>
                <a:srgbClr val="92D050"/>
              </a:solidFill>
            </c:spPr>
          </c:dPt>
          <c:dPt>
            <c:idx val="5"/>
            <c:spPr>
              <a:solidFill>
                <a:schemeClr val="accent3">
                  <a:lumMod val="60000"/>
                  <a:lumOff val="40000"/>
                </a:schemeClr>
              </a:solidFill>
            </c:spPr>
          </c:dPt>
          <c:dLbls>
            <c:dLbl>
              <c:idx val="0"/>
              <c:spPr/>
              <c:txPr>
                <a:bodyPr/>
                <a:lstStyle/>
                <a:p>
                  <a:pPr>
                    <a:defRPr lang="en-US"/>
                  </a:pPr>
                  <a:endParaRPr lang="lt-LT"/>
                </a:p>
              </c:txPr>
              <c:dLblPos val="outEnd"/>
              <c:showVal val="1"/>
            </c:dLbl>
            <c:dLbl>
              <c:idx val="1"/>
              <c:spPr/>
              <c:txPr>
                <a:bodyPr/>
                <a:lstStyle/>
                <a:p>
                  <a:pPr>
                    <a:defRPr lang="en-US"/>
                  </a:pPr>
                  <a:endParaRPr lang="lt-LT"/>
                </a:p>
              </c:txPr>
              <c:dLblPos val="outEnd"/>
              <c:showVal val="1"/>
            </c:dLbl>
            <c:dLbl>
              <c:idx val="2"/>
              <c:spPr/>
              <c:txPr>
                <a:bodyPr/>
                <a:lstStyle/>
                <a:p>
                  <a:pPr>
                    <a:defRPr lang="en-US"/>
                  </a:pPr>
                  <a:endParaRPr lang="lt-LT"/>
                </a:p>
              </c:txPr>
              <c:dLblPos val="outEnd"/>
              <c:showVal val="1"/>
            </c:dLbl>
            <c:dLbl>
              <c:idx val="3"/>
              <c:spPr/>
              <c:txPr>
                <a:bodyPr/>
                <a:lstStyle/>
                <a:p>
                  <a:pPr>
                    <a:defRPr lang="en-US"/>
                  </a:pPr>
                  <a:endParaRPr lang="lt-LT"/>
                </a:p>
              </c:txPr>
              <c:dLblPos val="outEnd"/>
              <c:showVal val="1"/>
            </c:dLbl>
            <c:dLbl>
              <c:idx val="4"/>
              <c:spPr/>
              <c:txPr>
                <a:bodyPr/>
                <a:lstStyle/>
                <a:p>
                  <a:pPr>
                    <a:defRPr lang="en-US"/>
                  </a:pPr>
                  <a:endParaRPr lang="lt-LT"/>
                </a:p>
              </c:txPr>
              <c:dLblPos val="outEnd"/>
              <c:showVal val="1"/>
            </c:dLbl>
            <c:dLbl>
              <c:idx val="5"/>
              <c:spPr/>
              <c:txPr>
                <a:bodyPr/>
                <a:lstStyle/>
                <a:p>
                  <a:pPr>
                    <a:defRPr lang="en-US"/>
                  </a:pPr>
                  <a:endParaRPr lang="lt-LT"/>
                </a:p>
              </c:txPr>
              <c:dLblPos val="outEnd"/>
              <c:showVal val="1"/>
            </c:dLbl>
            <c:delete val="1"/>
          </c:dLbls>
          <c:cat>
            <c:strRef>
              <c:f>'2015-01-01'!$A$34:$A$39</c:f>
              <c:strCache>
                <c:ptCount val="6"/>
                <c:pt idx="0">
                  <c:v> Jaunų šeimų (20)</c:v>
                </c:pt>
                <c:pt idx="1">
                  <c:v> Šeimų, auginančių tris ir daugiau vaikų (įvaikių)(6)</c:v>
                </c:pt>
                <c:pt idx="2">
                  <c:v>Likusių be tėvų globos asmenų (4)</c:v>
                </c:pt>
                <c:pt idx="3">
                  <c:v>Neįgalių asmenų (šeimų) (8)</c:v>
                </c:pt>
                <c:pt idx="4">
                  <c:v> Bendrasis (15)</c:v>
                </c:pt>
                <c:pt idx="5">
                  <c:v> Socialinio būsto nuomininkų, turinčių teisę į sąlygų pagerinimą (6)</c:v>
                </c:pt>
              </c:strCache>
            </c:strRef>
          </c:cat>
          <c:val>
            <c:numRef>
              <c:f>'2015-01-01'!$B$34:$B$39</c:f>
              <c:numCache>
                <c:formatCode>General</c:formatCode>
                <c:ptCount val="6"/>
                <c:pt idx="0">
                  <c:v>20</c:v>
                </c:pt>
                <c:pt idx="1">
                  <c:v>6</c:v>
                </c:pt>
                <c:pt idx="2">
                  <c:v>4</c:v>
                </c:pt>
                <c:pt idx="3">
                  <c:v>8</c:v>
                </c:pt>
                <c:pt idx="4">
                  <c:v>15</c:v>
                </c:pt>
                <c:pt idx="5">
                  <c:v>6</c:v>
                </c:pt>
              </c:numCache>
            </c:numRef>
          </c:val>
        </c:ser>
        <c:firstSliceAng val="0"/>
      </c:pieChart>
      <c:spPr>
        <a:noFill/>
        <a:ln w="25400">
          <a:noFill/>
        </a:ln>
      </c:spPr>
    </c:plotArea>
    <c:legend>
      <c:legendPos val="r"/>
      <c:layout>
        <c:manualLayout>
          <c:xMode val="edge"/>
          <c:yMode val="edge"/>
          <c:x val="0.6389688166151507"/>
          <c:y val="0.17711177553157981"/>
          <c:w val="0.34097439092915993"/>
          <c:h val="0.76021823651248077"/>
        </c:manualLayout>
      </c:layout>
      <c:txPr>
        <a:bodyPr/>
        <a:lstStyle/>
        <a:p>
          <a:pPr>
            <a:defRPr lang="en-US" sz="800"/>
          </a:pPr>
          <a:endParaRPr lang="lt-LT"/>
        </a:p>
      </c:txPr>
    </c:legend>
    <c:plotVisOnly val="1"/>
    <c:dispBlanksAs val="zero"/>
  </c:chart>
  <c:spPr>
    <a:blipFill>
      <a:blip xmlns:r="http://schemas.openxmlformats.org/officeDocument/2006/relationships" r:embed="rId1"/>
      <a:tile tx="0" ty="0" sx="100000" sy="100000" flip="none" algn="tl"/>
    </a:blipFill>
  </c:sp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lang="en-US"/>
            </a:pPr>
            <a:r>
              <a:rPr lang="lt-LT" sz="1200" b="1" i="0" u="none" strike="noStrike" baseline="0">
                <a:latin typeface="Times New Roman" pitchFamily="18" charset="0"/>
                <a:cs typeface="Times New Roman" pitchFamily="18" charset="0"/>
              </a:rPr>
              <a:t>Asmenų ir šeimų,  laukiančių eilėje būstui išsinuomoti,       </a:t>
            </a:r>
          </a:p>
          <a:p>
            <a:pPr>
              <a:defRPr lang="en-US"/>
            </a:pPr>
            <a:r>
              <a:rPr lang="lt-LT" sz="1200" b="1" i="0" u="none" strike="noStrike" baseline="0">
                <a:latin typeface="Times New Roman" pitchFamily="18" charset="0"/>
                <a:cs typeface="Times New Roman" pitchFamily="18" charset="0"/>
              </a:rPr>
              <a:t>skaičiaus pokytis 2013-2015 metais </a:t>
            </a:r>
            <a:endParaRPr lang="en-US" sz="1200" b="1">
              <a:latin typeface="Times New Roman" pitchFamily="18" charset="0"/>
              <a:cs typeface="Times New Roman" pitchFamily="18" charset="0"/>
            </a:endParaRPr>
          </a:p>
        </c:rich>
      </c:tx>
      <c:layout>
        <c:manualLayout>
          <c:xMode val="edge"/>
          <c:yMode val="edge"/>
          <c:x val="0.18945144356955507"/>
          <c:y val="4.4004400440044437E-2"/>
        </c:manualLayout>
      </c:layout>
    </c:title>
    <c:view3D>
      <c:rAngAx val="1"/>
    </c:view3D>
    <c:plotArea>
      <c:layout/>
      <c:bar3DChart>
        <c:barDir val="col"/>
        <c:grouping val="clustered"/>
        <c:ser>
          <c:idx val="0"/>
          <c:order val="0"/>
          <c:tx>
            <c:strRef>
              <c:f>'2015-01-01'!$A$5:$B$5</c:f>
              <c:strCache>
                <c:ptCount val="1"/>
                <c:pt idx="0">
                  <c:v>šeimos </c:v>
                </c:pt>
              </c:strCache>
            </c:strRef>
          </c:tx>
          <c:spPr>
            <a:solidFill>
              <a:srgbClr val="FFC000"/>
            </a:solidFill>
          </c:spPr>
          <c:dLbls>
            <c:txPr>
              <a:bodyPr/>
              <a:lstStyle/>
              <a:p>
                <a:pPr>
                  <a:defRPr lang="en-US"/>
                </a:pPr>
                <a:endParaRPr lang="lt-LT"/>
              </a:p>
            </c:txPr>
            <c:showVal val="1"/>
          </c:dLbls>
          <c:cat>
            <c:strRef>
              <c:f>'2015-01-01'!$C$4:$E$4</c:f>
              <c:strCache>
                <c:ptCount val="3"/>
                <c:pt idx="0">
                  <c:v>2013 m.</c:v>
                </c:pt>
                <c:pt idx="1">
                  <c:v>2014 m.</c:v>
                </c:pt>
                <c:pt idx="2">
                  <c:v>2015 m.</c:v>
                </c:pt>
              </c:strCache>
            </c:strRef>
          </c:cat>
          <c:val>
            <c:numRef>
              <c:f>'2015-01-01'!$C$5:$E$5</c:f>
              <c:numCache>
                <c:formatCode>General</c:formatCode>
                <c:ptCount val="3"/>
                <c:pt idx="0">
                  <c:v>79</c:v>
                </c:pt>
                <c:pt idx="1">
                  <c:v>69</c:v>
                </c:pt>
                <c:pt idx="2">
                  <c:v>59</c:v>
                </c:pt>
              </c:numCache>
            </c:numRef>
          </c:val>
        </c:ser>
        <c:ser>
          <c:idx val="1"/>
          <c:order val="1"/>
          <c:tx>
            <c:strRef>
              <c:f>'2015-01-01'!$A$6:$B$6</c:f>
              <c:strCache>
                <c:ptCount val="1"/>
                <c:pt idx="0">
                  <c:v>šeimos narių skaičius</c:v>
                </c:pt>
              </c:strCache>
            </c:strRef>
          </c:tx>
          <c:spPr>
            <a:solidFill>
              <a:srgbClr val="009999"/>
            </a:solidFill>
          </c:spPr>
          <c:dLbls>
            <c:txPr>
              <a:bodyPr/>
              <a:lstStyle/>
              <a:p>
                <a:pPr>
                  <a:defRPr lang="en-US"/>
                </a:pPr>
                <a:endParaRPr lang="lt-LT"/>
              </a:p>
            </c:txPr>
            <c:showVal val="1"/>
          </c:dLbls>
          <c:cat>
            <c:strRef>
              <c:f>'2015-01-01'!$C$4:$E$4</c:f>
              <c:strCache>
                <c:ptCount val="3"/>
                <c:pt idx="0">
                  <c:v>2013 m.</c:v>
                </c:pt>
                <c:pt idx="1">
                  <c:v>2014 m.</c:v>
                </c:pt>
                <c:pt idx="2">
                  <c:v>2015 m.</c:v>
                </c:pt>
              </c:strCache>
            </c:strRef>
          </c:cat>
          <c:val>
            <c:numRef>
              <c:f>'2015-01-01'!$C$6:$E$6</c:f>
              <c:numCache>
                <c:formatCode>General</c:formatCode>
                <c:ptCount val="3"/>
                <c:pt idx="0">
                  <c:v>247</c:v>
                </c:pt>
                <c:pt idx="1">
                  <c:v>215</c:v>
                </c:pt>
                <c:pt idx="2">
                  <c:v>159</c:v>
                </c:pt>
              </c:numCache>
            </c:numRef>
          </c:val>
        </c:ser>
        <c:shape val="box"/>
        <c:axId val="173824256"/>
        <c:axId val="168099840"/>
        <c:axId val="0"/>
      </c:bar3DChart>
      <c:catAx>
        <c:axId val="173824256"/>
        <c:scaling>
          <c:orientation val="minMax"/>
        </c:scaling>
        <c:axPos val="b"/>
        <c:majorTickMark val="none"/>
        <c:tickLblPos val="nextTo"/>
        <c:txPr>
          <a:bodyPr/>
          <a:lstStyle/>
          <a:p>
            <a:pPr>
              <a:defRPr lang="en-US"/>
            </a:pPr>
            <a:endParaRPr lang="lt-LT"/>
          </a:p>
        </c:txPr>
        <c:crossAx val="168099840"/>
        <c:crosses val="autoZero"/>
        <c:auto val="1"/>
        <c:lblAlgn val="ctr"/>
        <c:lblOffset val="100"/>
      </c:catAx>
      <c:valAx>
        <c:axId val="168099840"/>
        <c:scaling>
          <c:orientation val="minMax"/>
        </c:scaling>
        <c:axPos val="l"/>
        <c:numFmt formatCode="General" sourceLinked="1"/>
        <c:majorTickMark val="none"/>
        <c:tickLblPos val="nextTo"/>
        <c:txPr>
          <a:bodyPr/>
          <a:lstStyle/>
          <a:p>
            <a:pPr>
              <a:defRPr lang="en-US"/>
            </a:pPr>
            <a:endParaRPr lang="lt-LT"/>
          </a:p>
        </c:txPr>
        <c:crossAx val="173824256"/>
        <c:crosses val="autoZero"/>
        <c:crossBetween val="between"/>
      </c:valAx>
    </c:plotArea>
    <c:legend>
      <c:legendPos val="r"/>
      <c:txPr>
        <a:bodyPr/>
        <a:lstStyle/>
        <a:p>
          <a:pPr>
            <a:defRPr lang="en-US"/>
          </a:pPr>
          <a:endParaRPr lang="lt-LT"/>
        </a:p>
      </c:txPr>
    </c:legend>
    <c:plotVisOnly val="1"/>
  </c:chart>
  <c:spPr>
    <a:blipFill>
      <a:blip xmlns:r="http://schemas.openxmlformats.org/officeDocument/2006/relationships" r:embed="rId1"/>
      <a:tile tx="0" ty="0" sx="100000" sy="100000" flip="none" algn="tl"/>
    </a:blipFill>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Times New Roman"/>
                <a:ea typeface="Times New Roman"/>
                <a:cs typeface="Times New Roman"/>
              </a:defRPr>
            </a:pPr>
            <a:r>
              <a:rPr lang="lt-LT" sz="1200"/>
              <a:t>Gimimų registravimas</a:t>
            </a:r>
          </a:p>
        </c:rich>
      </c:tx>
      <c:layout>
        <c:manualLayout>
          <c:xMode val="edge"/>
          <c:yMode val="edge"/>
          <c:x val="0.34517766497462388"/>
          <c:y val="2.1052631578947382E-2"/>
        </c:manualLayout>
      </c:layout>
      <c:spPr>
        <a:noFill/>
        <a:ln w="25400">
          <a:noFill/>
        </a:ln>
      </c:spPr>
    </c:title>
    <c:plotArea>
      <c:layout>
        <c:manualLayout>
          <c:layoutTarget val="inner"/>
          <c:xMode val="edge"/>
          <c:yMode val="edge"/>
          <c:x val="8.1218274111675079E-2"/>
          <c:y val="0.35789473684210532"/>
          <c:w val="0.89340101522842663"/>
          <c:h val="0.36315789473684501"/>
        </c:manualLayout>
      </c:layout>
      <c:barChart>
        <c:barDir val="col"/>
        <c:grouping val="clustered"/>
        <c:ser>
          <c:idx val="0"/>
          <c:order val="0"/>
          <c:tx>
            <c:strRef>
              <c:f>Sheet1!$A$2</c:f>
              <c:strCache>
                <c:ptCount val="1"/>
                <c:pt idx="0">
                  <c:v>Tėvystės pripažinimas</c:v>
                </c:pt>
              </c:strCache>
            </c:strRef>
          </c:tx>
          <c:spPr>
            <a:solidFill>
              <a:srgbClr val="9999FF"/>
            </a:solidFill>
            <a:ln w="12700">
              <a:solidFill>
                <a:srgbClr val="000000"/>
              </a:solidFill>
              <a:prstDash val="solid"/>
            </a:ln>
          </c:spPr>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Sheet1!$B$2:$D$2</c:f>
              <c:numCache>
                <c:formatCode>General</c:formatCode>
                <c:ptCount val="3"/>
                <c:pt idx="0">
                  <c:v>33</c:v>
                </c:pt>
                <c:pt idx="1">
                  <c:v>37</c:v>
                </c:pt>
                <c:pt idx="2">
                  <c:v>40</c:v>
                </c:pt>
              </c:numCache>
            </c:numRef>
          </c:val>
        </c:ser>
        <c:ser>
          <c:idx val="1"/>
          <c:order val="1"/>
          <c:tx>
            <c:strRef>
              <c:f>Sheet1!$A$3</c:f>
              <c:strCache>
                <c:ptCount val="1"/>
                <c:pt idx="0">
                  <c:v>Vienišos mamos</c:v>
                </c:pt>
              </c:strCache>
            </c:strRef>
          </c:tx>
          <c:spPr>
            <a:solidFill>
              <a:srgbClr val="993366"/>
            </a:solidFill>
            <a:ln w="12700">
              <a:solidFill>
                <a:srgbClr val="000000"/>
              </a:solidFill>
              <a:prstDash val="solid"/>
            </a:ln>
          </c:spPr>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Sheet1!$B$3:$D$3</c:f>
              <c:numCache>
                <c:formatCode>General</c:formatCode>
                <c:ptCount val="3"/>
                <c:pt idx="0">
                  <c:v>2</c:v>
                </c:pt>
                <c:pt idx="1">
                  <c:v>1</c:v>
                </c:pt>
                <c:pt idx="2">
                  <c:v>5</c:v>
                </c:pt>
              </c:numCache>
            </c:numRef>
          </c:val>
        </c:ser>
        <c:dLbls>
          <c:showVal val="1"/>
        </c:dLbls>
        <c:axId val="168673280"/>
        <c:axId val="168675200"/>
      </c:barChart>
      <c:catAx>
        <c:axId val="168673280"/>
        <c:scaling>
          <c:orientation val="minMax"/>
        </c:scaling>
        <c:axPos val="b"/>
        <c:title>
          <c:tx>
            <c:rich>
              <a:bodyPr/>
              <a:lstStyle/>
              <a:p>
                <a:pPr>
                  <a:defRPr sz="8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8477157360406475"/>
              <c:y val="0.84736842105262644"/>
            </c:manualLayout>
          </c:layout>
          <c:spPr>
            <a:noFill/>
            <a:ln w="25400">
              <a:noFill/>
            </a:ln>
          </c:spPr>
        </c:title>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68675200"/>
        <c:crosses val="autoZero"/>
        <c:auto val="1"/>
        <c:lblAlgn val="ctr"/>
        <c:lblOffset val="100"/>
        <c:tickLblSkip val="1"/>
        <c:tickMarkSkip val="1"/>
      </c:catAx>
      <c:valAx>
        <c:axId val="16867520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68673280"/>
        <c:crosses val="autoZero"/>
        <c:crossBetween val="between"/>
      </c:valAx>
      <c:spPr>
        <a:solidFill>
          <a:srgbClr val="FFFFFF"/>
        </a:solidFill>
        <a:ln w="12700">
          <a:solidFill>
            <a:srgbClr val="808080"/>
          </a:solidFill>
          <a:prstDash val="solid"/>
        </a:ln>
      </c:spPr>
    </c:plotArea>
    <c:legend>
      <c:legendPos val="t"/>
      <c:layout>
        <c:manualLayout>
          <c:xMode val="edge"/>
          <c:yMode val="edge"/>
          <c:x val="0.22842639593908629"/>
          <c:y val="0.15263157894736842"/>
          <c:w val="0.59644670050760751"/>
          <c:h val="0.1"/>
        </c:manualLayout>
      </c:layout>
      <c:spPr>
        <a:no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825" b="1" i="0" u="none" strike="noStrike" baseline="0">
          <a:solidFill>
            <a:srgbClr val="000000"/>
          </a:solidFill>
          <a:latin typeface="Arial"/>
          <a:ea typeface="Arial"/>
          <a:cs typeface="Arial"/>
        </a:defRPr>
      </a:pPr>
      <a:endParaRPr lang="lt-LT"/>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lt-LT"/>
  <c:style val="7"/>
  <c:chart>
    <c:title>
      <c:tx>
        <c:rich>
          <a:bodyPr/>
          <a:lstStyle/>
          <a:p>
            <a:pPr>
              <a:defRPr lang="en-US"/>
            </a:pPr>
            <a:r>
              <a:rPr lang="lt-LT"/>
              <a:t>Savivaldybės  būstų skaičius 2015-12-31</a:t>
            </a:r>
          </a:p>
        </c:rich>
      </c:tx>
    </c:title>
    <c:view3D>
      <c:rAngAx val="1"/>
    </c:view3D>
    <c:sideWall>
      <c:spPr>
        <a:blipFill>
          <a:blip xmlns:r="http://schemas.openxmlformats.org/officeDocument/2006/relationships" r:embed="rId1"/>
          <a:tile tx="0" ty="0" sx="100000" sy="100000" flip="none" algn="tl"/>
        </a:blipFill>
      </c:spPr>
    </c:sideWall>
    <c:backWall>
      <c:spPr>
        <a:blipFill>
          <a:blip xmlns:r="http://schemas.openxmlformats.org/officeDocument/2006/relationships" r:embed="rId1"/>
          <a:tile tx="0" ty="0" sx="100000" sy="100000" flip="none" algn="tl"/>
        </a:blipFill>
      </c:spPr>
    </c:backWall>
    <c:plotArea>
      <c:layout/>
      <c:bar3DChart>
        <c:barDir val="col"/>
        <c:grouping val="stacked"/>
        <c:ser>
          <c:idx val="0"/>
          <c:order val="0"/>
          <c:tx>
            <c:strRef>
              <c:f>'2015-01-01'!$C$43</c:f>
              <c:strCache>
                <c:ptCount val="1"/>
                <c:pt idx="0">
                  <c:v>Savivaldybės  būstų skaičius 2015-12-31</c:v>
                </c:pt>
              </c:strCache>
            </c:strRef>
          </c:tx>
          <c:dLbls>
            <c:txPr>
              <a:bodyPr/>
              <a:lstStyle/>
              <a:p>
                <a:pPr>
                  <a:defRPr lang="en-US"/>
                </a:pPr>
                <a:endParaRPr lang="lt-LT"/>
              </a:p>
            </c:txPr>
            <c:showVal val="1"/>
          </c:dLbls>
          <c:cat>
            <c:strRef>
              <c:f>'2015-01-01'!$A$44:$B$48</c:f>
              <c:strCache>
                <c:ptCount val="5"/>
                <c:pt idx="0">
                  <c:v>Rietavo miesto seniūnija</c:v>
                </c:pt>
                <c:pt idx="1">
                  <c:v>Rietavo seniūnija</c:v>
                </c:pt>
                <c:pt idx="2">
                  <c:v>Daugėdų seniūnija</c:v>
                </c:pt>
                <c:pt idx="3">
                  <c:v>Tverų seniūnija</c:v>
                </c:pt>
                <c:pt idx="4">
                  <c:v>Medingėnų seniūnija</c:v>
                </c:pt>
              </c:strCache>
            </c:strRef>
          </c:cat>
          <c:val>
            <c:numRef>
              <c:f>'2015-01-01'!$C$44:$C$48</c:f>
              <c:numCache>
                <c:formatCode>General</c:formatCode>
                <c:ptCount val="5"/>
                <c:pt idx="0">
                  <c:v>35</c:v>
                </c:pt>
                <c:pt idx="1">
                  <c:v>10</c:v>
                </c:pt>
                <c:pt idx="2">
                  <c:v>3</c:v>
                </c:pt>
                <c:pt idx="3">
                  <c:v>8</c:v>
                </c:pt>
                <c:pt idx="4">
                  <c:v>7</c:v>
                </c:pt>
              </c:numCache>
            </c:numRef>
          </c:val>
        </c:ser>
        <c:dLbls>
          <c:showVal val="1"/>
        </c:dLbls>
        <c:shape val="box"/>
        <c:axId val="168137088"/>
        <c:axId val="168138624"/>
        <c:axId val="0"/>
      </c:bar3DChart>
      <c:catAx>
        <c:axId val="168137088"/>
        <c:scaling>
          <c:orientation val="minMax"/>
        </c:scaling>
        <c:axPos val="b"/>
        <c:tickLblPos val="nextTo"/>
        <c:txPr>
          <a:bodyPr/>
          <a:lstStyle/>
          <a:p>
            <a:pPr>
              <a:defRPr lang="en-US"/>
            </a:pPr>
            <a:endParaRPr lang="lt-LT"/>
          </a:p>
        </c:txPr>
        <c:crossAx val="168138624"/>
        <c:crosses val="autoZero"/>
        <c:auto val="1"/>
        <c:lblAlgn val="ctr"/>
        <c:lblOffset val="100"/>
      </c:catAx>
      <c:valAx>
        <c:axId val="168138624"/>
        <c:scaling>
          <c:orientation val="minMax"/>
        </c:scaling>
        <c:axPos val="l"/>
        <c:numFmt formatCode="General" sourceLinked="1"/>
        <c:tickLblPos val="nextTo"/>
        <c:txPr>
          <a:bodyPr/>
          <a:lstStyle/>
          <a:p>
            <a:pPr>
              <a:defRPr lang="en-US"/>
            </a:pPr>
            <a:endParaRPr lang="lt-LT"/>
          </a:p>
        </c:txPr>
        <c:crossAx val="168137088"/>
        <c:crosses val="autoZero"/>
        <c:crossBetween val="between"/>
      </c:valAx>
    </c:plotArea>
    <c:plotVisOnly val="1"/>
  </c:chart>
  <c:spPr>
    <a:gradFill>
      <a:gsLst>
        <a:gs pos="0">
          <a:schemeClr val="accent5">
            <a:lumMod val="60000"/>
            <a:lumOff val="40000"/>
          </a:schemeClr>
        </a:gs>
        <a:gs pos="50000">
          <a:srgbClr val="72A376">
            <a:tint val="44500"/>
            <a:satMod val="160000"/>
          </a:srgbClr>
        </a:gs>
        <a:gs pos="100000">
          <a:srgbClr val="72A376">
            <a:tint val="23500"/>
            <a:satMod val="160000"/>
          </a:srgbClr>
        </a:gs>
      </a:gsLst>
      <a:lin ang="5400000" scaled="0"/>
    </a:gradFill>
  </c:spPr>
  <c:externalData r:id="rId2"/>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lang="en-US" sz="1100" b="1" i="0" u="none" strike="noStrike" baseline="0">
                <a:solidFill>
                  <a:srgbClr val="000000"/>
                </a:solidFill>
                <a:latin typeface="Times New Roman" pitchFamily="18" charset="0"/>
                <a:ea typeface="Arial"/>
                <a:cs typeface="Times New Roman" pitchFamily="18" charset="0"/>
              </a:defRPr>
            </a:pPr>
            <a:r>
              <a:rPr lang="lt-LT" sz="1100">
                <a:latin typeface="Times New Roman" pitchFamily="18" charset="0"/>
                <a:cs typeface="Times New Roman" pitchFamily="18" charset="0"/>
              </a:rPr>
              <a:t>Suteikta parama verslo subjektams 
2013 - 2015 metais (tūkst. Eur)</a:t>
            </a:r>
          </a:p>
        </c:rich>
      </c:tx>
      <c:layout>
        <c:manualLayout>
          <c:xMode val="edge"/>
          <c:yMode val="edge"/>
          <c:x val="0.26966316710411198"/>
          <c:y val="4.1860373740707557E-2"/>
        </c:manualLayout>
      </c:layout>
      <c:spPr>
        <a:noFill/>
        <a:ln w="25400">
          <a:noFill/>
        </a:ln>
      </c:spPr>
    </c:title>
    <c:view3D>
      <c:hPercent val="51"/>
      <c:depthPercent val="10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10419983216383666"/>
          <c:y val="0.20899608892762062"/>
          <c:w val="0.64632079619490024"/>
          <c:h val="0.58759689922480618"/>
        </c:manualLayout>
      </c:layout>
      <c:bar3DChart>
        <c:barDir val="col"/>
        <c:grouping val="clustered"/>
        <c:ser>
          <c:idx val="0"/>
          <c:order val="0"/>
          <c:tx>
            <c:strRef>
              <c:f>verslas!$C$4:$C$5</c:f>
              <c:strCache>
                <c:ptCount val="1"/>
                <c:pt idx="0">
                  <c:v>subjektų skaičius</c:v>
                </c:pt>
              </c:strCache>
            </c:strRef>
          </c:tx>
          <c:spPr>
            <a:solidFill>
              <a:schemeClr val="accent4">
                <a:lumMod val="60000"/>
                <a:lumOff val="40000"/>
              </a:schemeClr>
            </a:solidFill>
            <a:ln w="12700">
              <a:solidFill>
                <a:schemeClr val="accent4">
                  <a:lumMod val="75000"/>
                </a:schemeClr>
              </a:solidFill>
              <a:prstDash val="solid"/>
            </a:ln>
          </c:spPr>
          <c:dLbls>
            <c:dLbl>
              <c:idx val="0"/>
              <c:layout>
                <c:manualLayout>
                  <c:x val="1.3264900912023739E-2"/>
                  <c:y val="-5.2781541842154027E-3"/>
                </c:manualLayout>
              </c:layout>
              <c:showVal val="1"/>
            </c:dLbl>
            <c:dLbl>
              <c:idx val="1"/>
              <c:layout>
                <c:manualLayout>
                  <c:x val="1.7254560032890387E-2"/>
                  <c:y val="-1.6928767624977224E-2"/>
                </c:manualLayout>
              </c:layout>
              <c:showVal val="1"/>
            </c:dLbl>
            <c:dLbl>
              <c:idx val="2"/>
              <c:layout>
                <c:manualLayout>
                  <c:x val="1.6824863926867422E-2"/>
                  <c:y val="-7.3871696270523994E-3"/>
                </c:manualLayout>
              </c:layout>
              <c:showVal val="1"/>
            </c:dLbl>
            <c:txPr>
              <a:bodyPr/>
              <a:lstStyle/>
              <a:p>
                <a:pPr>
                  <a:defRPr lang="en-US"/>
                </a:pPr>
                <a:endParaRPr lang="lt-LT"/>
              </a:p>
            </c:txPr>
            <c:showVal val="1"/>
          </c:dLbls>
          <c:cat>
            <c:strRef>
              <c:f>verslas!$B$6:$B$8</c:f>
              <c:strCache>
                <c:ptCount val="3"/>
                <c:pt idx="0">
                  <c:v>2013 m.</c:v>
                </c:pt>
                <c:pt idx="1">
                  <c:v>2014 m.</c:v>
                </c:pt>
                <c:pt idx="2">
                  <c:v>2015 m.</c:v>
                </c:pt>
              </c:strCache>
            </c:strRef>
          </c:cat>
          <c:val>
            <c:numRef>
              <c:f>verslas!$C$6:$C$8</c:f>
              <c:numCache>
                <c:formatCode>General</c:formatCode>
                <c:ptCount val="3"/>
                <c:pt idx="0">
                  <c:v>9</c:v>
                </c:pt>
                <c:pt idx="1">
                  <c:v>12</c:v>
                </c:pt>
                <c:pt idx="2">
                  <c:v>12</c:v>
                </c:pt>
              </c:numCache>
            </c:numRef>
          </c:val>
        </c:ser>
        <c:ser>
          <c:idx val="1"/>
          <c:order val="1"/>
          <c:tx>
            <c:strRef>
              <c:f>verslas!$D$4:$D$5</c:f>
              <c:strCache>
                <c:ptCount val="1"/>
                <c:pt idx="0">
                  <c:v>skirta lėšų</c:v>
                </c:pt>
              </c:strCache>
            </c:strRef>
          </c:tx>
          <c:spPr>
            <a:solidFill>
              <a:schemeClr val="accent3">
                <a:lumMod val="60000"/>
                <a:lumOff val="40000"/>
              </a:schemeClr>
            </a:solidFill>
            <a:ln w="12700">
              <a:solidFill>
                <a:srgbClr val="000000"/>
              </a:solidFill>
              <a:prstDash val="solid"/>
            </a:ln>
          </c:spPr>
          <c:dLbls>
            <c:dLbl>
              <c:idx val="0"/>
              <c:layout>
                <c:manualLayout>
                  <c:x val="1.7363675213311665E-2"/>
                  <c:y val="-2.1373374839773864E-3"/>
                </c:manualLayout>
              </c:layout>
              <c:showVal val="1"/>
            </c:dLbl>
            <c:dLbl>
              <c:idx val="1"/>
              <c:layout>
                <c:manualLayout>
                  <c:x val="1.4611753903195438E-2"/>
                  <c:y val="-1.9853750839284603E-2"/>
                </c:manualLayout>
              </c:layout>
              <c:showVal val="1"/>
            </c:dLbl>
            <c:dLbl>
              <c:idx val="2"/>
              <c:layout>
                <c:manualLayout>
                  <c:x val="3.4481594891654012E-2"/>
                  <c:y val="-2.1125312824269413E-2"/>
                </c:manualLayout>
              </c:layout>
              <c:showVal val="1"/>
            </c:dLbl>
            <c:spPr>
              <a:noFill/>
              <a:ln w="25400">
                <a:noFill/>
              </a:ln>
            </c:spPr>
            <c:txPr>
              <a:bodyPr/>
              <a:lstStyle/>
              <a:p>
                <a:pPr>
                  <a:defRPr lang="en-US" sz="800" b="1" i="0" u="none" strike="noStrike" baseline="0">
                    <a:solidFill>
                      <a:srgbClr val="000000"/>
                    </a:solidFill>
                    <a:latin typeface="Arial"/>
                    <a:ea typeface="Arial"/>
                    <a:cs typeface="Arial"/>
                  </a:defRPr>
                </a:pPr>
                <a:endParaRPr lang="lt-LT"/>
              </a:p>
            </c:txPr>
            <c:showVal val="1"/>
          </c:dLbls>
          <c:cat>
            <c:strRef>
              <c:f>verslas!$B$6:$B$8</c:f>
              <c:strCache>
                <c:ptCount val="3"/>
                <c:pt idx="0">
                  <c:v>2013 m.</c:v>
                </c:pt>
                <c:pt idx="1">
                  <c:v>2014 m.</c:v>
                </c:pt>
                <c:pt idx="2">
                  <c:v>2015 m.</c:v>
                </c:pt>
              </c:strCache>
            </c:strRef>
          </c:cat>
          <c:val>
            <c:numRef>
              <c:f>verslas!$D$6:$D$8</c:f>
              <c:numCache>
                <c:formatCode>General</c:formatCode>
                <c:ptCount val="3"/>
                <c:pt idx="0">
                  <c:v>2.1</c:v>
                </c:pt>
                <c:pt idx="1">
                  <c:v>2.2000000000000002</c:v>
                </c:pt>
                <c:pt idx="2" formatCode="0.0">
                  <c:v>3.2</c:v>
                </c:pt>
              </c:numCache>
            </c:numRef>
          </c:val>
        </c:ser>
        <c:dLbls>
          <c:showVal val="1"/>
        </c:dLbls>
        <c:shape val="box"/>
        <c:axId val="171056128"/>
        <c:axId val="171082496"/>
        <c:axId val="0"/>
      </c:bar3DChart>
      <c:catAx>
        <c:axId val="171056128"/>
        <c:scaling>
          <c:orientation val="minMax"/>
        </c:scaling>
        <c:axPos val="b"/>
        <c:numFmt formatCode="General" sourceLinked="1"/>
        <c:tickLblPos val="low"/>
        <c:spPr>
          <a:ln w="3175">
            <a:solidFill>
              <a:srgbClr val="000000"/>
            </a:solidFill>
            <a:prstDash val="solid"/>
          </a:ln>
        </c:spPr>
        <c:txPr>
          <a:bodyPr rot="0" vert="horz"/>
          <a:lstStyle/>
          <a:p>
            <a:pPr>
              <a:defRPr lang="en-US" sz="1000" b="0" i="0" u="none" strike="noStrike" baseline="0">
                <a:solidFill>
                  <a:srgbClr val="000000"/>
                </a:solidFill>
                <a:latin typeface="Times New Roman" pitchFamily="18" charset="0"/>
                <a:ea typeface="Arial"/>
                <a:cs typeface="Times New Roman" pitchFamily="18" charset="0"/>
              </a:defRPr>
            </a:pPr>
            <a:endParaRPr lang="lt-LT"/>
          </a:p>
        </c:txPr>
        <c:crossAx val="171082496"/>
        <c:crosses val="autoZero"/>
        <c:auto val="1"/>
        <c:lblAlgn val="ctr"/>
        <c:lblOffset val="100"/>
        <c:tickLblSkip val="1"/>
        <c:tickMarkSkip val="1"/>
      </c:catAx>
      <c:valAx>
        <c:axId val="171082496"/>
        <c:scaling>
          <c:orientation val="minMax"/>
        </c:scaling>
        <c:delete val="1"/>
        <c:axPos val="l"/>
        <c:numFmt formatCode="General" sourceLinked="1"/>
        <c:tickLblPos val="none"/>
        <c:crossAx val="171056128"/>
        <c:crosses val="autoZero"/>
        <c:crossBetween val="between"/>
      </c:valAx>
      <c:spPr>
        <a:noFill/>
        <a:ln w="25400">
          <a:noFill/>
        </a:ln>
      </c:spPr>
    </c:plotArea>
    <c:legend>
      <c:legendPos val="r"/>
      <c:legendEntry>
        <c:idx val="0"/>
        <c:txPr>
          <a:bodyPr/>
          <a:lstStyle/>
          <a:p>
            <a:pPr>
              <a:defRPr sz="900" b="0" i="0" u="none" strike="noStrike" baseline="0">
                <a:solidFill>
                  <a:srgbClr val="000000"/>
                </a:solidFill>
                <a:latin typeface="Arial"/>
                <a:ea typeface="Arial"/>
                <a:cs typeface="Arial"/>
              </a:defRPr>
            </a:pPr>
            <a:endParaRPr lang="lt-LT"/>
          </a:p>
        </c:txPr>
      </c:legendEntry>
      <c:legendEntry>
        <c:idx val="1"/>
        <c:txPr>
          <a:bodyPr/>
          <a:lstStyle/>
          <a:p>
            <a:pPr>
              <a:defRPr sz="900" b="0" i="0" u="none" strike="noStrike" baseline="0">
                <a:solidFill>
                  <a:srgbClr val="000000"/>
                </a:solidFill>
                <a:latin typeface="Arial"/>
                <a:ea typeface="Arial"/>
                <a:cs typeface="Arial"/>
              </a:defRPr>
            </a:pPr>
            <a:endParaRPr lang="lt-LT"/>
          </a:p>
        </c:txPr>
      </c:legendEntry>
      <c:layout>
        <c:manualLayout>
          <c:xMode val="edge"/>
          <c:yMode val="edge"/>
          <c:x val="0.7340628094565107"/>
          <c:y val="0.54601427067125596"/>
          <c:w val="0.25500946997009988"/>
          <c:h val="0.30368200606660872"/>
        </c:manualLayout>
      </c:layout>
      <c:spPr>
        <a:solidFill>
          <a:srgbClr val="FFFFFF"/>
        </a:solidFill>
        <a:ln w="3175">
          <a:solidFill>
            <a:srgbClr val="000000"/>
          </a:solidFill>
          <a:prstDash val="solid"/>
        </a:ln>
      </c:spPr>
      <c:txPr>
        <a:bodyPr/>
        <a:lstStyle/>
        <a:p>
          <a:pPr>
            <a:defRPr lang="en-US" sz="735" b="0" i="0" u="none" strike="noStrike" baseline="0">
              <a:solidFill>
                <a:srgbClr val="000000"/>
              </a:solidFill>
              <a:latin typeface="Arial"/>
              <a:ea typeface="Arial"/>
              <a:cs typeface="Arial"/>
            </a:defRPr>
          </a:pPr>
          <a:endParaRPr lang="lt-LT"/>
        </a:p>
      </c:txPr>
    </c:legend>
    <c:plotVisOnly val="1"/>
    <c:dispBlanksAs val="gap"/>
  </c:chart>
  <c:spPr>
    <a:solidFill>
      <a:schemeClr val="accent3">
        <a:lumMod val="20000"/>
        <a:lumOff val="80000"/>
      </a:schemeClr>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lt-LT"/>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lang="en-US" sz="1100">
                <a:latin typeface="Times New Roman" pitchFamily="18" charset="0"/>
                <a:cs typeface="Times New Roman" pitchFamily="18" charset="0"/>
              </a:defRPr>
            </a:pPr>
            <a:r>
              <a:rPr lang="lt-LT" sz="1100" b="1">
                <a:latin typeface="Times New Roman" pitchFamily="18" charset="0"/>
                <a:cs typeface="Times New Roman" pitchFamily="18" charset="0"/>
              </a:rPr>
              <a:t>Suteikta parama žemės ūkio subjektams 
2013-2015 metais (tūkst. Eur)</a:t>
            </a:r>
          </a:p>
        </c:rich>
      </c:tx>
      <c:layout>
        <c:manualLayout>
          <c:xMode val="edge"/>
          <c:yMode val="edge"/>
          <c:x val="0.16836732306857363"/>
          <c:y val="3.8626701215063772E-2"/>
        </c:manualLayout>
      </c:layout>
      <c:spPr>
        <a:noFill/>
        <a:ln w="25400">
          <a:noFill/>
        </a:ln>
      </c:spPr>
    </c:title>
    <c:view3D>
      <c:hPercent val="64"/>
      <c:depthPercent val="100"/>
      <c:rAngAx val="1"/>
    </c:view3D>
    <c:floor>
      <c:spPr>
        <a:solidFill>
          <a:srgbClr val="C0C0C0"/>
        </a:solidFill>
        <a:ln w="3175">
          <a:solidFill>
            <a:srgbClr val="000000"/>
          </a:solidFill>
          <a:prstDash val="solid"/>
        </a:ln>
      </c:spPr>
    </c:floor>
    <c:backWall>
      <c:spPr>
        <a:noFill/>
        <a:ln w="25400">
          <a:noFill/>
        </a:ln>
      </c:spPr>
    </c:backWall>
    <c:plotArea>
      <c:layout>
        <c:manualLayout>
          <c:layoutTarget val="inner"/>
          <c:xMode val="edge"/>
          <c:yMode val="edge"/>
          <c:x val="6.7176870748299325E-2"/>
          <c:y val="0.21888412017167391"/>
          <c:w val="0.67324901744795396"/>
          <c:h val="0.61802575107296143"/>
        </c:manualLayout>
      </c:layout>
      <c:bar3DChart>
        <c:barDir val="col"/>
        <c:grouping val="clustered"/>
        <c:ser>
          <c:idx val="0"/>
          <c:order val="0"/>
          <c:tx>
            <c:strRef>
              <c:f>verslas!$C$15:$C$16</c:f>
              <c:strCache>
                <c:ptCount val="1"/>
                <c:pt idx="0">
                  <c:v>subjektų skaičius</c:v>
                </c:pt>
              </c:strCache>
            </c:strRef>
          </c:tx>
          <c:spPr>
            <a:solidFill>
              <a:schemeClr val="accent4">
                <a:lumMod val="60000"/>
                <a:lumOff val="40000"/>
              </a:schemeClr>
            </a:solidFill>
            <a:ln w="12700">
              <a:solidFill>
                <a:srgbClr val="000000"/>
              </a:solidFill>
              <a:prstDash val="solid"/>
            </a:ln>
          </c:spPr>
          <c:dLbls>
            <c:dLbl>
              <c:idx val="0"/>
              <c:layout>
                <c:manualLayout>
                  <c:x val="1.4112164550859714E-2"/>
                  <c:y val="-4.6176202223648924E-3"/>
                </c:manualLayout>
              </c:layout>
              <c:showVal val="1"/>
            </c:dLbl>
            <c:dLbl>
              <c:idx val="1"/>
              <c:layout>
                <c:manualLayout>
                  <c:x val="1.8940489581659538E-2"/>
                  <c:y val="4.9717819607313918E-3"/>
                </c:manualLayout>
              </c:layout>
              <c:showVal val="1"/>
            </c:dLbl>
            <c:dLbl>
              <c:idx val="2"/>
              <c:layout>
                <c:manualLayout>
                  <c:x val="3.1421875836948991E-2"/>
                  <c:y val="-1.0223829317472809E-2"/>
                </c:manualLayout>
              </c:layout>
              <c:showVal val="1"/>
            </c:dLbl>
            <c:numFmt formatCode="General" sourceLinked="0"/>
            <c:spPr>
              <a:noFill/>
              <a:ln w="25400">
                <a:noFill/>
              </a:ln>
            </c:spPr>
            <c:txPr>
              <a:bodyPr/>
              <a:lstStyle/>
              <a:p>
                <a:pPr>
                  <a:defRPr lang="en-US">
                    <a:latin typeface="Times New Roman" pitchFamily="18" charset="0"/>
                    <a:cs typeface="Times New Roman" pitchFamily="18" charset="0"/>
                  </a:defRPr>
                </a:pPr>
                <a:endParaRPr lang="lt-LT"/>
              </a:p>
            </c:txPr>
            <c:showVal val="1"/>
          </c:dLbls>
          <c:cat>
            <c:strRef>
              <c:f>verslas!$B$17:$B$19</c:f>
              <c:strCache>
                <c:ptCount val="3"/>
                <c:pt idx="0">
                  <c:v>2013 m.</c:v>
                </c:pt>
                <c:pt idx="1">
                  <c:v>2014 m.</c:v>
                </c:pt>
                <c:pt idx="2">
                  <c:v>2015 m.</c:v>
                </c:pt>
              </c:strCache>
            </c:strRef>
          </c:cat>
          <c:val>
            <c:numRef>
              <c:f>verslas!$C$17:$C$19</c:f>
              <c:numCache>
                <c:formatCode>General</c:formatCode>
                <c:ptCount val="3"/>
                <c:pt idx="0">
                  <c:v>14</c:v>
                </c:pt>
                <c:pt idx="1">
                  <c:v>20</c:v>
                </c:pt>
                <c:pt idx="2">
                  <c:v>21</c:v>
                </c:pt>
              </c:numCache>
            </c:numRef>
          </c:val>
        </c:ser>
        <c:ser>
          <c:idx val="1"/>
          <c:order val="1"/>
          <c:tx>
            <c:strRef>
              <c:f>verslas!$D$15:$D$16</c:f>
              <c:strCache>
                <c:ptCount val="1"/>
                <c:pt idx="0">
                  <c:v>skirta lėšų</c:v>
                </c:pt>
              </c:strCache>
            </c:strRef>
          </c:tx>
          <c:spPr>
            <a:solidFill>
              <a:schemeClr val="accent3">
                <a:lumMod val="60000"/>
                <a:lumOff val="40000"/>
              </a:schemeClr>
            </a:solidFill>
            <a:ln w="12700">
              <a:solidFill>
                <a:srgbClr val="000000"/>
              </a:solidFill>
              <a:prstDash val="solid"/>
            </a:ln>
          </c:spPr>
          <c:dLbls>
            <c:dLbl>
              <c:idx val="0"/>
              <c:layout>
                <c:manualLayout>
                  <c:x val="2.0268091488564052E-2"/>
                  <c:y val="4.9240196906716631E-3"/>
                </c:manualLayout>
              </c:layout>
              <c:showVal val="1"/>
            </c:dLbl>
            <c:dLbl>
              <c:idx val="1"/>
              <c:layout>
                <c:manualLayout>
                  <c:x val="2.7647436927527122E-2"/>
                  <c:y val="-1.4539555946064663E-2"/>
                </c:manualLayout>
              </c:layout>
              <c:showVal val="1"/>
            </c:dLbl>
            <c:dLbl>
              <c:idx val="2"/>
              <c:layout>
                <c:manualLayout>
                  <c:x val="3.7424875461996063E-2"/>
                  <c:y val="-9.2739909657216547E-3"/>
                </c:manualLayout>
              </c:layout>
              <c:showVal val="1"/>
            </c:dLbl>
            <c:spPr>
              <a:noFill/>
              <a:ln w="25400">
                <a:noFill/>
              </a:ln>
            </c:spPr>
            <c:txPr>
              <a:bodyPr rot="0"/>
              <a:lstStyle/>
              <a:p>
                <a:pPr>
                  <a:defRPr lang="en-US">
                    <a:latin typeface="Times New Roman" pitchFamily="18" charset="0"/>
                    <a:cs typeface="Times New Roman" pitchFamily="18" charset="0"/>
                  </a:defRPr>
                </a:pPr>
                <a:endParaRPr lang="lt-LT"/>
              </a:p>
            </c:txPr>
            <c:showVal val="1"/>
          </c:dLbls>
          <c:cat>
            <c:strRef>
              <c:f>verslas!$B$17:$B$19</c:f>
              <c:strCache>
                <c:ptCount val="3"/>
                <c:pt idx="0">
                  <c:v>2013 m.</c:v>
                </c:pt>
                <c:pt idx="1">
                  <c:v>2014 m.</c:v>
                </c:pt>
                <c:pt idx="2">
                  <c:v>2015 m.</c:v>
                </c:pt>
              </c:strCache>
            </c:strRef>
          </c:cat>
          <c:val>
            <c:numRef>
              <c:f>verslas!$D$17:$D$19</c:f>
              <c:numCache>
                <c:formatCode>0.0</c:formatCode>
                <c:ptCount val="3"/>
                <c:pt idx="0">
                  <c:v>2.9</c:v>
                </c:pt>
                <c:pt idx="1">
                  <c:v>2.2999999999999998</c:v>
                </c:pt>
                <c:pt idx="2">
                  <c:v>2.9</c:v>
                </c:pt>
              </c:numCache>
            </c:numRef>
          </c:val>
        </c:ser>
        <c:gapDepth val="204"/>
        <c:shape val="box"/>
        <c:axId val="171101184"/>
        <c:axId val="171107072"/>
        <c:axId val="0"/>
      </c:bar3DChart>
      <c:catAx>
        <c:axId val="171101184"/>
        <c:scaling>
          <c:orientation val="minMax"/>
        </c:scaling>
        <c:axPos val="b"/>
        <c:numFmt formatCode="General" sourceLinked="1"/>
        <c:tickLblPos val="low"/>
        <c:spPr>
          <a:ln w="3175">
            <a:solidFill>
              <a:srgbClr val="000000"/>
            </a:solidFill>
            <a:prstDash val="solid"/>
          </a:ln>
        </c:spPr>
        <c:txPr>
          <a:bodyPr rot="0" vert="horz"/>
          <a:lstStyle/>
          <a:p>
            <a:pPr>
              <a:defRPr lang="en-US">
                <a:latin typeface="Times New Roman" pitchFamily="18" charset="0"/>
                <a:cs typeface="Times New Roman" pitchFamily="18" charset="0"/>
              </a:defRPr>
            </a:pPr>
            <a:endParaRPr lang="lt-LT"/>
          </a:p>
        </c:txPr>
        <c:crossAx val="171107072"/>
        <c:crosses val="autoZero"/>
        <c:auto val="1"/>
        <c:lblAlgn val="ctr"/>
        <c:lblOffset val="100"/>
        <c:tickLblSkip val="1"/>
        <c:tickMarkSkip val="1"/>
      </c:catAx>
      <c:valAx>
        <c:axId val="171107072"/>
        <c:scaling>
          <c:orientation val="minMax"/>
        </c:scaling>
        <c:delete val="1"/>
        <c:axPos val="l"/>
        <c:numFmt formatCode="General" sourceLinked="1"/>
        <c:tickLblPos val="none"/>
        <c:crossAx val="171101184"/>
        <c:crosses val="autoZero"/>
        <c:crossBetween val="between"/>
      </c:valAx>
      <c:spPr>
        <a:noFill/>
        <a:ln w="25400">
          <a:noFill/>
        </a:ln>
      </c:spPr>
    </c:plotArea>
    <c:legend>
      <c:legendPos val="r"/>
      <c:layout>
        <c:manualLayout>
          <c:xMode val="edge"/>
          <c:yMode val="edge"/>
          <c:x val="0.73975278491258101"/>
          <c:y val="0.46645618978138931"/>
          <c:w val="0.24955506898536181"/>
          <c:h val="0.34824448860825308"/>
        </c:manualLayout>
      </c:layout>
      <c:spPr>
        <a:solidFill>
          <a:srgbClr val="FFFFFF"/>
        </a:solidFill>
        <a:ln w="3175">
          <a:solidFill>
            <a:srgbClr val="000000"/>
          </a:solidFill>
          <a:prstDash val="solid"/>
        </a:ln>
      </c:spPr>
      <c:txPr>
        <a:bodyPr/>
        <a:lstStyle/>
        <a:p>
          <a:pPr>
            <a:defRPr lang="en-US" sz="900"/>
          </a:pPr>
          <a:endParaRPr lang="lt-LT"/>
        </a:p>
      </c:txPr>
    </c:legend>
    <c:plotVisOnly val="1"/>
    <c:dispBlanksAs val="gap"/>
  </c:chart>
  <c:spPr>
    <a:solidFill>
      <a:schemeClr val="accent3">
        <a:lumMod val="20000"/>
        <a:lumOff val="80000"/>
      </a:schemeClr>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Times New Roman"/>
                <a:ea typeface="Times New Roman"/>
                <a:cs typeface="Times New Roman"/>
              </a:defRPr>
            </a:pPr>
            <a:r>
              <a:rPr lang="lt-LT" sz="1200"/>
              <a:t>Išnuomotos žemės plotas ha ir žemės nuomos mokesčio mokėtojų skaičius</a:t>
            </a:r>
          </a:p>
        </c:rich>
      </c:tx>
      <c:layout>
        <c:manualLayout>
          <c:xMode val="edge"/>
          <c:yMode val="edge"/>
          <c:x val="0.1733038887380457"/>
          <c:y val="9.8600628289340519E-2"/>
        </c:manualLayout>
      </c:layout>
      <c:spPr>
        <a:noFill/>
        <a:ln w="25400">
          <a:noFill/>
        </a:ln>
      </c:spPr>
    </c:title>
    <c:view3D>
      <c:hPercent val="28"/>
      <c:depthPercent val="100"/>
      <c:rAngAx val="1"/>
    </c:view3D>
    <c:floor>
      <c:spPr>
        <a:solidFill>
          <a:srgbClr val="C0C0C0"/>
        </a:solidFill>
        <a:ln w="3175">
          <a:solidFill>
            <a:srgbClr val="000000"/>
          </a:solidFill>
          <a:prstDash val="solid"/>
        </a:ln>
      </c:spPr>
    </c:floor>
    <c:sideWall>
      <c:spPr>
        <a:solidFill>
          <a:srgbClr val="FFFF00"/>
        </a:solidFill>
        <a:ln w="12700">
          <a:solidFill>
            <a:srgbClr val="808080"/>
          </a:solidFill>
          <a:prstDash val="solid"/>
        </a:ln>
      </c:spPr>
    </c:sideWall>
    <c:backWall>
      <c:spPr>
        <a:solidFill>
          <a:srgbClr val="FFFF00"/>
        </a:solidFill>
        <a:ln w="12700">
          <a:solidFill>
            <a:srgbClr val="808080"/>
          </a:solidFill>
          <a:prstDash val="solid"/>
        </a:ln>
      </c:spPr>
    </c:backWall>
    <c:plotArea>
      <c:layout>
        <c:manualLayout>
          <c:layoutTarget val="inner"/>
          <c:xMode val="edge"/>
          <c:yMode val="edge"/>
          <c:x val="0.12905604719764024"/>
          <c:y val="0.23524124013408834"/>
          <c:w val="0.86946902654867986"/>
          <c:h val="0.54083407826911289"/>
        </c:manualLayout>
      </c:layout>
      <c:bar3DChart>
        <c:barDir val="col"/>
        <c:grouping val="clustered"/>
        <c:ser>
          <c:idx val="0"/>
          <c:order val="0"/>
          <c:tx>
            <c:strRef>
              <c:f>Sheet1!$A$108</c:f>
              <c:strCache>
                <c:ptCount val="1"/>
                <c:pt idx="0">
                  <c:v>Išnuomotos žemės plotas ha </c:v>
                </c:pt>
              </c:strCache>
            </c:strRef>
          </c:tx>
          <c:spPr>
            <a:solidFill>
              <a:srgbClr val="9999FF"/>
            </a:solidFill>
            <a:ln w="12700">
              <a:solidFill>
                <a:srgbClr val="000000"/>
              </a:solidFill>
              <a:prstDash val="solid"/>
            </a:ln>
          </c:spPr>
          <c:dLbls>
            <c:dLbl>
              <c:idx val="0"/>
              <c:layout>
                <c:manualLayout>
                  <c:x val="1.4577973490585209E-2"/>
                  <c:y val="-4.0811660944471258E-2"/>
                </c:manualLayout>
              </c:layout>
              <c:showVal val="1"/>
            </c:dLbl>
            <c:dLbl>
              <c:idx val="1"/>
              <c:layout>
                <c:manualLayout>
                  <c:x val="7.5779869101616874E-3"/>
                  <c:y val="-4.8178834042611522E-2"/>
                </c:manualLayout>
              </c:layout>
              <c:showVal val="1"/>
            </c:dLbl>
            <c:dLbl>
              <c:idx val="2"/>
              <c:layout>
                <c:manualLayout>
                  <c:x val="1.9576103871971756E-2"/>
                  <c:y val="-3.7266921439380339E-2"/>
                </c:manualLayout>
              </c:layout>
              <c:showVal val="1"/>
            </c:dLbl>
            <c:spPr>
              <a:noFill/>
              <a:ln w="25400">
                <a:noFill/>
              </a:ln>
            </c:spPr>
            <c:txPr>
              <a:bodyPr/>
              <a:lstStyle/>
              <a:p>
                <a:pPr>
                  <a:defRPr sz="900" b="1" i="0" u="none" strike="noStrike" baseline="0">
                    <a:solidFill>
                      <a:srgbClr val="000000"/>
                    </a:solidFill>
                    <a:latin typeface="Arial"/>
                    <a:ea typeface="Arial"/>
                    <a:cs typeface="Arial"/>
                  </a:defRPr>
                </a:pPr>
                <a:endParaRPr lang="lt-LT"/>
              </a:p>
            </c:txPr>
            <c:showVal val="1"/>
          </c:dLbls>
          <c:cat>
            <c:strRef>
              <c:f>Sheet1!$B$107:$D$107</c:f>
              <c:strCache>
                <c:ptCount val="3"/>
                <c:pt idx="0">
                  <c:v>2013 metai</c:v>
                </c:pt>
                <c:pt idx="1">
                  <c:v>2014 metai</c:v>
                </c:pt>
                <c:pt idx="2">
                  <c:v>2015 metai</c:v>
                </c:pt>
              </c:strCache>
            </c:strRef>
          </c:cat>
          <c:val>
            <c:numRef>
              <c:f>Sheet1!$B$108:$D$108</c:f>
              <c:numCache>
                <c:formatCode>General</c:formatCode>
                <c:ptCount val="3"/>
                <c:pt idx="0">
                  <c:v>1916.24</c:v>
                </c:pt>
                <c:pt idx="1">
                  <c:v>918.56</c:v>
                </c:pt>
                <c:pt idx="2">
                  <c:v>888.19</c:v>
                </c:pt>
              </c:numCache>
            </c:numRef>
          </c:val>
        </c:ser>
        <c:ser>
          <c:idx val="1"/>
          <c:order val="1"/>
          <c:tx>
            <c:strRef>
              <c:f>Sheet1!$A$109</c:f>
              <c:strCache>
                <c:ptCount val="1"/>
                <c:pt idx="0">
                  <c:v>Žemės nuomos mokesčio mokėtojų skaičius</c:v>
                </c:pt>
              </c:strCache>
            </c:strRef>
          </c:tx>
          <c:spPr>
            <a:solidFill>
              <a:srgbClr val="993366"/>
            </a:solidFill>
            <a:ln w="12700">
              <a:solidFill>
                <a:srgbClr val="000000"/>
              </a:solidFill>
              <a:prstDash val="solid"/>
            </a:ln>
          </c:spPr>
          <c:dLbls>
            <c:dLbl>
              <c:idx val="0"/>
              <c:layout>
                <c:manualLayout>
                  <c:x val="1.2758692774022612E-2"/>
                  <c:y val="-1.2262603982319799E-2"/>
                </c:manualLayout>
              </c:layout>
              <c:showVal val="1"/>
            </c:dLbl>
            <c:dLbl>
              <c:idx val="1"/>
              <c:layout>
                <c:manualLayout>
                  <c:x val="2.0788319968291249E-2"/>
                  <c:y val="-2.3055449985815001E-2"/>
                </c:manualLayout>
              </c:layout>
              <c:showVal val="1"/>
            </c:dLbl>
            <c:dLbl>
              <c:idx val="2"/>
              <c:layout>
                <c:manualLayout>
                  <c:x val="1.9231644716976751E-2"/>
                  <c:y val="-1.3296741816067877E-2"/>
                </c:manualLayout>
              </c:layout>
              <c:showVal val="1"/>
            </c:dLbl>
            <c:spPr>
              <a:noFill/>
              <a:ln w="25400">
                <a:noFill/>
              </a:ln>
            </c:spPr>
            <c:txPr>
              <a:bodyPr/>
              <a:lstStyle/>
              <a:p>
                <a:pPr>
                  <a:defRPr sz="900" b="1" i="0" u="none" strike="noStrike" baseline="0">
                    <a:solidFill>
                      <a:srgbClr val="000000"/>
                    </a:solidFill>
                    <a:latin typeface="Arial"/>
                    <a:ea typeface="Arial"/>
                    <a:cs typeface="Arial"/>
                  </a:defRPr>
                </a:pPr>
                <a:endParaRPr lang="lt-LT"/>
              </a:p>
            </c:txPr>
            <c:showVal val="1"/>
          </c:dLbls>
          <c:cat>
            <c:strRef>
              <c:f>Sheet1!$B$107:$D$107</c:f>
              <c:strCache>
                <c:ptCount val="3"/>
                <c:pt idx="0">
                  <c:v>2013 metai</c:v>
                </c:pt>
                <c:pt idx="1">
                  <c:v>2014 metai</c:v>
                </c:pt>
                <c:pt idx="2">
                  <c:v>2015 metai</c:v>
                </c:pt>
              </c:strCache>
            </c:strRef>
          </c:cat>
          <c:val>
            <c:numRef>
              <c:f>Sheet1!$B$109:$D$109</c:f>
              <c:numCache>
                <c:formatCode>General</c:formatCode>
                <c:ptCount val="3"/>
                <c:pt idx="0">
                  <c:v>738</c:v>
                </c:pt>
                <c:pt idx="1">
                  <c:v>605</c:v>
                </c:pt>
                <c:pt idx="2">
                  <c:v>575</c:v>
                </c:pt>
              </c:numCache>
            </c:numRef>
          </c:val>
        </c:ser>
        <c:dLbls>
          <c:showVal val="1"/>
        </c:dLbls>
        <c:shape val="cone"/>
        <c:axId val="171231488"/>
        <c:axId val="171241472"/>
        <c:axId val="0"/>
      </c:bar3DChart>
      <c:catAx>
        <c:axId val="171231488"/>
        <c:scaling>
          <c:orientation val="minMax"/>
        </c:scaling>
        <c:axPos val="b"/>
        <c:numFmt formatCode="General" sourceLinked="1"/>
        <c:tickLblPos val="low"/>
        <c:spPr>
          <a:ln w="3175">
            <a:solidFill>
              <a:srgbClr val="000000"/>
            </a:solidFill>
            <a:prstDash val="solid"/>
          </a:ln>
        </c:spPr>
        <c:txPr>
          <a:bodyPr rot="0" vert="horz"/>
          <a:lstStyle/>
          <a:p>
            <a:pPr>
              <a:defRPr sz="1000" b="0" i="0" u="none" strike="noStrike" baseline="0">
                <a:solidFill>
                  <a:srgbClr val="000000"/>
                </a:solidFill>
                <a:latin typeface="Times New Roman" pitchFamily="18" charset="0"/>
                <a:ea typeface="Arial"/>
                <a:cs typeface="Times New Roman" pitchFamily="18" charset="0"/>
              </a:defRPr>
            </a:pPr>
            <a:endParaRPr lang="lt-LT"/>
          </a:p>
        </c:txPr>
        <c:crossAx val="171241472"/>
        <c:crosses val="autoZero"/>
        <c:auto val="1"/>
        <c:lblAlgn val="ctr"/>
        <c:lblOffset val="100"/>
        <c:tickLblSkip val="1"/>
        <c:tickMarkSkip val="1"/>
      </c:catAx>
      <c:valAx>
        <c:axId val="17124147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lt-LT"/>
          </a:p>
        </c:txPr>
        <c:crossAx val="171231488"/>
        <c:crosses val="autoZero"/>
        <c:crossBetween val="between"/>
      </c:valAx>
      <c:spPr>
        <a:noFill/>
        <a:ln w="25400">
          <a:noFill/>
        </a:ln>
      </c:spPr>
    </c:plotArea>
    <c:legend>
      <c:legendPos val="r"/>
      <c:layout>
        <c:manualLayout>
          <c:xMode val="edge"/>
          <c:yMode val="edge"/>
          <c:x val="6.8140085714645415E-2"/>
          <c:y val="0.84867008891053863"/>
          <c:w val="0.86188000309335688"/>
          <c:h val="0.11059887483473131"/>
        </c:manualLayout>
      </c:layou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legend>
    <c:plotVisOnly val="1"/>
    <c:dispBlanksAs val="gap"/>
  </c:chart>
  <c:spPr>
    <a:gradFill>
      <a:gsLst>
        <a:gs pos="91000">
          <a:srgbClr val="FEFAC9"/>
        </a:gs>
        <a:gs pos="50000">
          <a:srgbClr val="9CB86E"/>
        </a:gs>
        <a:gs pos="100000">
          <a:srgbClr val="156B13"/>
        </a:gs>
      </a:gsLst>
      <a:lin ang="5400000" scaled="0"/>
    </a:gradFill>
    <a:ln w="3175">
      <a:solidFill>
        <a:srgbClr val="002060"/>
      </a:solidFill>
      <a:prstDash val="solid"/>
    </a:ln>
  </c:spPr>
  <c:txPr>
    <a:bodyPr/>
    <a:lstStyle/>
    <a:p>
      <a:pPr>
        <a:defRPr sz="800" b="0" i="0" u="none" strike="noStrike" baseline="0">
          <a:solidFill>
            <a:srgbClr val="000000"/>
          </a:solidFill>
          <a:latin typeface="Arial"/>
          <a:ea typeface="Arial"/>
          <a:cs typeface="Arial"/>
        </a:defRPr>
      </a:pPr>
      <a:endParaRPr lang="lt-LT"/>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a:latin typeface="Times New Roman" pitchFamily="18" charset="0"/>
                <a:cs typeface="Times New Roman" pitchFamily="18" charset="0"/>
              </a:defRPr>
            </a:pPr>
            <a:r>
              <a:rPr lang="lt-LT" sz="1200">
                <a:latin typeface="Times New Roman" pitchFamily="18" charset="0"/>
                <a:cs typeface="Times New Roman" pitchFamily="18" charset="0"/>
              </a:rPr>
              <a:t>2013 - 2015 m. valstybinės žemės nuomos mokesčio surinkimas</a:t>
            </a:r>
          </a:p>
        </c:rich>
      </c:tx>
      <c:layout>
        <c:manualLayout>
          <c:xMode val="edge"/>
          <c:yMode val="edge"/>
          <c:x val="0.1361315904258634"/>
          <c:y val="4.1384799726121434E-2"/>
        </c:manualLayout>
      </c:layout>
    </c:title>
    <c:view3D>
      <c:rAngAx val="1"/>
    </c:view3D>
    <c:plotArea>
      <c:layout/>
      <c:bar3DChart>
        <c:barDir val="bar"/>
        <c:grouping val="clustered"/>
        <c:ser>
          <c:idx val="0"/>
          <c:order val="0"/>
          <c:tx>
            <c:strRef>
              <c:f>Sheet1!$A$24</c:f>
              <c:strCache>
                <c:ptCount val="1"/>
                <c:pt idx="0">
                  <c:v>Surinkta valstybinės žemės nuomos mokesčio Eur</c:v>
                </c:pt>
              </c:strCache>
            </c:strRef>
          </c:tx>
          <c:dLbls>
            <c:txPr>
              <a:bodyPr/>
              <a:lstStyle/>
              <a:p>
                <a:pPr>
                  <a:defRPr b="1">
                    <a:latin typeface="Times New Roman" pitchFamily="18" charset="0"/>
                    <a:cs typeface="Times New Roman" pitchFamily="18" charset="0"/>
                  </a:defRPr>
                </a:pPr>
                <a:endParaRPr lang="lt-LT"/>
              </a:p>
            </c:txPr>
            <c:showVal val="1"/>
          </c:dLbls>
          <c:cat>
            <c:strRef>
              <c:f>Sheet1!$B$23:$D$23</c:f>
              <c:strCache>
                <c:ptCount val="3"/>
                <c:pt idx="0">
                  <c:v>2013 m.</c:v>
                </c:pt>
                <c:pt idx="1">
                  <c:v>2014 m.</c:v>
                </c:pt>
                <c:pt idx="2">
                  <c:v>2015 m.</c:v>
                </c:pt>
              </c:strCache>
            </c:strRef>
          </c:cat>
          <c:val>
            <c:numRef>
              <c:f>Sheet1!$B$24:$D$24</c:f>
              <c:numCache>
                <c:formatCode>General</c:formatCode>
                <c:ptCount val="3"/>
                <c:pt idx="0">
                  <c:v>34333</c:v>
                </c:pt>
                <c:pt idx="1">
                  <c:v>25153</c:v>
                </c:pt>
                <c:pt idx="2">
                  <c:v>26388</c:v>
                </c:pt>
              </c:numCache>
            </c:numRef>
          </c:val>
        </c:ser>
        <c:ser>
          <c:idx val="1"/>
          <c:order val="1"/>
          <c:tx>
            <c:strRef>
              <c:f>Sheet1!$A$25</c:f>
              <c:strCache>
                <c:ptCount val="1"/>
                <c:pt idx="0">
                  <c:v>Apskaičiuota valstybinės žemės nuomos mokesčio Eur </c:v>
                </c:pt>
              </c:strCache>
            </c:strRef>
          </c:tx>
          <c:dLbls>
            <c:dLbl>
              <c:idx val="0"/>
              <c:layout>
                <c:manualLayout>
                  <c:x val="2.757352741622845E-3"/>
                  <c:y val="-2.6086956521739212E-2"/>
                </c:manualLayout>
              </c:layout>
              <c:showVal val="1"/>
            </c:dLbl>
            <c:dLbl>
              <c:idx val="1"/>
              <c:layout>
                <c:manualLayout>
                  <c:x val="5.51470548324565E-3"/>
                  <c:y val="-2.1739130434782612E-2"/>
                </c:manualLayout>
              </c:layout>
              <c:showVal val="1"/>
            </c:dLbl>
            <c:dLbl>
              <c:idx val="2"/>
              <c:layout>
                <c:manualLayout>
                  <c:x val="0"/>
                  <c:y val="-1.7391304347826087E-2"/>
                </c:manualLayout>
              </c:layout>
              <c:showVal val="1"/>
            </c:dLbl>
            <c:txPr>
              <a:bodyPr/>
              <a:lstStyle/>
              <a:p>
                <a:pPr>
                  <a:defRPr b="1">
                    <a:latin typeface="Times New Roman" pitchFamily="18" charset="0"/>
                    <a:cs typeface="Times New Roman" pitchFamily="18" charset="0"/>
                  </a:defRPr>
                </a:pPr>
                <a:endParaRPr lang="lt-LT"/>
              </a:p>
            </c:txPr>
            <c:showVal val="1"/>
          </c:dLbls>
          <c:cat>
            <c:strRef>
              <c:f>Sheet1!$B$23:$D$23</c:f>
              <c:strCache>
                <c:ptCount val="3"/>
                <c:pt idx="0">
                  <c:v>2013 m.</c:v>
                </c:pt>
                <c:pt idx="1">
                  <c:v>2014 m.</c:v>
                </c:pt>
                <c:pt idx="2">
                  <c:v>2015 m.</c:v>
                </c:pt>
              </c:strCache>
            </c:strRef>
          </c:cat>
          <c:val>
            <c:numRef>
              <c:f>Sheet1!$B$25:$D$25</c:f>
              <c:numCache>
                <c:formatCode>General</c:formatCode>
                <c:ptCount val="3"/>
                <c:pt idx="0">
                  <c:v>32837</c:v>
                </c:pt>
                <c:pt idx="1">
                  <c:v>24250</c:v>
                </c:pt>
                <c:pt idx="2">
                  <c:v>27090</c:v>
                </c:pt>
              </c:numCache>
            </c:numRef>
          </c:val>
        </c:ser>
        <c:dLbls>
          <c:showVal val="1"/>
        </c:dLbls>
        <c:shape val="cylinder"/>
        <c:axId val="173692416"/>
        <c:axId val="173693952"/>
        <c:axId val="0"/>
      </c:bar3DChart>
      <c:catAx>
        <c:axId val="173692416"/>
        <c:scaling>
          <c:orientation val="minMax"/>
        </c:scaling>
        <c:axPos val="l"/>
        <c:tickLblPos val="nextTo"/>
        <c:txPr>
          <a:bodyPr/>
          <a:lstStyle/>
          <a:p>
            <a:pPr>
              <a:defRPr b="1">
                <a:latin typeface="Times New Roman" pitchFamily="18" charset="0"/>
                <a:cs typeface="Times New Roman" pitchFamily="18" charset="0"/>
              </a:defRPr>
            </a:pPr>
            <a:endParaRPr lang="lt-LT"/>
          </a:p>
        </c:txPr>
        <c:crossAx val="173693952"/>
        <c:crosses val="autoZero"/>
        <c:auto val="1"/>
        <c:lblAlgn val="ctr"/>
        <c:lblOffset val="100"/>
      </c:catAx>
      <c:valAx>
        <c:axId val="173693952"/>
        <c:scaling>
          <c:orientation val="minMax"/>
        </c:scaling>
        <c:axPos val="b"/>
        <c:majorGridlines/>
        <c:numFmt formatCode="General" sourceLinked="1"/>
        <c:tickLblPos val="nextTo"/>
        <c:crossAx val="173692416"/>
        <c:crosses val="autoZero"/>
        <c:crossBetween val="between"/>
      </c:valAx>
      <c:spPr>
        <a:solidFill>
          <a:srgbClr val="92D050"/>
        </a:solidFill>
      </c:spPr>
    </c:plotArea>
    <c:legend>
      <c:legendPos val="b"/>
      <c:spPr>
        <a:solidFill>
          <a:schemeClr val="bg1"/>
        </a:solidFill>
      </c:spPr>
      <c:txPr>
        <a:bodyPr/>
        <a:lstStyle/>
        <a:p>
          <a:pPr>
            <a:defRPr sz="1100">
              <a:solidFill>
                <a:sysClr val="windowText" lastClr="000000"/>
              </a:solidFill>
              <a:latin typeface="Times New Roman" pitchFamily="18" charset="0"/>
              <a:cs typeface="Times New Roman" pitchFamily="18" charset="0"/>
            </a:defRPr>
          </a:pPr>
          <a:endParaRPr lang="lt-LT"/>
        </a:p>
      </c:txPr>
    </c:legend>
    <c:plotVisOnly val="1"/>
  </c:chart>
  <c:spPr>
    <a:gradFill flip="none" rotWithShape="1">
      <a:gsLst>
        <a:gs pos="0">
          <a:srgbClr val="DDEBCF"/>
        </a:gs>
        <a:gs pos="50000">
          <a:srgbClr val="9CB86E"/>
        </a:gs>
        <a:gs pos="100000">
          <a:srgbClr val="156B13"/>
        </a:gs>
      </a:gsLst>
      <a:lin ang="2700000" scaled="1"/>
      <a:tileRect/>
    </a:gradFill>
    <a:effectLst>
      <a:innerShdw blurRad="63500" dist="50800" dir="5400000">
        <a:prstClr val="black">
          <a:alpha val="50000"/>
        </a:prstClr>
      </a:innerShdw>
    </a:effectLst>
  </c:spPr>
  <c:txPr>
    <a:bodyPr/>
    <a:lstStyle/>
    <a:p>
      <a:pPr>
        <a:defRPr>
          <a:solidFill>
            <a:sysClr val="windowText" lastClr="000000"/>
          </a:solidFill>
        </a:defRPr>
      </a:pPr>
      <a:endParaRPr lang="lt-LT"/>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latin typeface="Times New Roman" pitchFamily="18" charset="0"/>
                <a:cs typeface="Times New Roman" pitchFamily="18" charset="0"/>
              </a:rPr>
              <a:t>Suteikta valstybinės žemės nuomos mokesčio lengvatų </a:t>
            </a:r>
          </a:p>
        </c:rich>
      </c:tx>
    </c:title>
    <c:view3D>
      <c:rAngAx val="1"/>
    </c:view3D>
    <c:plotArea>
      <c:layout/>
      <c:bar3DChart>
        <c:barDir val="col"/>
        <c:grouping val="clustered"/>
        <c:ser>
          <c:idx val="0"/>
          <c:order val="0"/>
          <c:tx>
            <c:strRef>
              <c:f>Sheet1!$A$76</c:f>
              <c:strCache>
                <c:ptCount val="1"/>
                <c:pt idx="0">
                  <c:v>Dėl suteiktų lengvatų į Savivaldybės biudžetą negauta žemės nuomos mokesčio pajamų Eur</c:v>
                </c:pt>
              </c:strCache>
            </c:strRef>
          </c:tx>
          <c:dLbls>
            <c:dLbl>
              <c:idx val="0"/>
              <c:layout>
                <c:manualLayout>
                  <c:x val="5.5555555555555558E-3"/>
                  <c:y val="-2.0053471713867586E-2"/>
                </c:manualLayout>
              </c:layout>
              <c:showVal val="1"/>
            </c:dLbl>
            <c:dLbl>
              <c:idx val="1"/>
              <c:layout>
                <c:manualLayout>
                  <c:x val="1.6666666666666701E-2"/>
                  <c:y val="-1.6042777371094073E-2"/>
                </c:manualLayout>
              </c:layout>
              <c:showVal val="1"/>
            </c:dLbl>
            <c:dLbl>
              <c:idx val="2"/>
              <c:layout>
                <c:manualLayout>
                  <c:x val="1.6666666666666701E-2"/>
                  <c:y val="-2.4064166056641103E-2"/>
                </c:manualLayout>
              </c:layout>
              <c:showVal val="1"/>
            </c:dLbl>
            <c:txPr>
              <a:bodyPr/>
              <a:lstStyle/>
              <a:p>
                <a:pPr>
                  <a:defRPr sz="1000" b="1">
                    <a:latin typeface="Times New Roman" pitchFamily="18" charset="0"/>
                    <a:cs typeface="Times New Roman" pitchFamily="18" charset="0"/>
                  </a:defRPr>
                </a:pPr>
                <a:endParaRPr lang="lt-LT"/>
              </a:p>
            </c:txPr>
            <c:showVal val="1"/>
          </c:dLbls>
          <c:cat>
            <c:strRef>
              <c:f>Sheet1!$B$75:$D$75</c:f>
              <c:strCache>
                <c:ptCount val="3"/>
                <c:pt idx="0">
                  <c:v>2013 m.</c:v>
                </c:pt>
                <c:pt idx="1">
                  <c:v>2014 m.</c:v>
                </c:pt>
                <c:pt idx="2">
                  <c:v>2015 m.</c:v>
                </c:pt>
              </c:strCache>
            </c:strRef>
          </c:cat>
          <c:val>
            <c:numRef>
              <c:f>Sheet1!$B$76:$D$76</c:f>
              <c:numCache>
                <c:formatCode>General</c:formatCode>
                <c:ptCount val="3"/>
                <c:pt idx="0">
                  <c:v>3266</c:v>
                </c:pt>
                <c:pt idx="1">
                  <c:v>3220</c:v>
                </c:pt>
                <c:pt idx="2">
                  <c:v>3356</c:v>
                </c:pt>
              </c:numCache>
            </c:numRef>
          </c:val>
        </c:ser>
        <c:ser>
          <c:idx val="1"/>
          <c:order val="1"/>
          <c:tx>
            <c:strRef>
              <c:f>Sheet1!$A$77</c:f>
              <c:strCache>
                <c:ptCount val="1"/>
                <c:pt idx="0">
                  <c:v>Žemės nuomos mokesčio mokėtojų skaičius, kuriems suteiktos lengvatos vnt.</c:v>
                </c:pt>
              </c:strCache>
            </c:strRef>
          </c:tx>
          <c:dLbls>
            <c:dLbl>
              <c:idx val="0"/>
              <c:layout>
                <c:manualLayout>
                  <c:x val="2.5000000000000001E-2"/>
                  <c:y val="-3.6096249084961812E-2"/>
                </c:manualLayout>
              </c:layout>
              <c:showVal val="1"/>
            </c:dLbl>
            <c:dLbl>
              <c:idx val="1"/>
              <c:layout>
                <c:manualLayout>
                  <c:x val="3.0555555555555582E-2"/>
                  <c:y val="-2.4064166056641103E-2"/>
                </c:manualLayout>
              </c:layout>
              <c:showVal val="1"/>
            </c:dLbl>
            <c:dLbl>
              <c:idx val="2"/>
              <c:layout>
                <c:manualLayout>
                  <c:x val="4.1666666666666664E-2"/>
                  <c:y val="-1.6042777371094073E-2"/>
                </c:manualLayout>
              </c:layout>
              <c:showVal val="1"/>
            </c:dLbl>
            <c:txPr>
              <a:bodyPr/>
              <a:lstStyle/>
              <a:p>
                <a:pPr>
                  <a:defRPr b="1">
                    <a:latin typeface="Times New Roman" pitchFamily="18" charset="0"/>
                    <a:cs typeface="Times New Roman" pitchFamily="18" charset="0"/>
                  </a:defRPr>
                </a:pPr>
                <a:endParaRPr lang="lt-LT"/>
              </a:p>
            </c:txPr>
            <c:showVal val="1"/>
          </c:dLbls>
          <c:cat>
            <c:strRef>
              <c:f>Sheet1!$B$75:$D$75</c:f>
              <c:strCache>
                <c:ptCount val="3"/>
                <c:pt idx="0">
                  <c:v>2013 m.</c:v>
                </c:pt>
                <c:pt idx="1">
                  <c:v>2014 m.</c:v>
                </c:pt>
                <c:pt idx="2">
                  <c:v>2015 m.</c:v>
                </c:pt>
              </c:strCache>
            </c:strRef>
          </c:cat>
          <c:val>
            <c:numRef>
              <c:f>Sheet1!$B$77:$D$77</c:f>
              <c:numCache>
                <c:formatCode>General</c:formatCode>
                <c:ptCount val="3"/>
                <c:pt idx="0">
                  <c:v>489</c:v>
                </c:pt>
                <c:pt idx="1">
                  <c:v>374</c:v>
                </c:pt>
                <c:pt idx="2">
                  <c:v>316</c:v>
                </c:pt>
              </c:numCache>
            </c:numRef>
          </c:val>
        </c:ser>
        <c:dLbls>
          <c:showVal val="1"/>
        </c:dLbls>
        <c:shape val="cylinder"/>
        <c:axId val="173728512"/>
        <c:axId val="173730048"/>
        <c:axId val="0"/>
      </c:bar3DChart>
      <c:catAx>
        <c:axId val="173728512"/>
        <c:scaling>
          <c:orientation val="minMax"/>
        </c:scaling>
        <c:axPos val="b"/>
        <c:tickLblPos val="nextTo"/>
        <c:txPr>
          <a:bodyPr/>
          <a:lstStyle/>
          <a:p>
            <a:pPr>
              <a:defRPr b="1">
                <a:latin typeface="Times New Roman" pitchFamily="18" charset="0"/>
                <a:cs typeface="Times New Roman" pitchFamily="18" charset="0"/>
              </a:defRPr>
            </a:pPr>
            <a:endParaRPr lang="lt-LT"/>
          </a:p>
        </c:txPr>
        <c:crossAx val="173730048"/>
        <c:crosses val="autoZero"/>
        <c:auto val="1"/>
        <c:lblAlgn val="ctr"/>
        <c:lblOffset val="100"/>
      </c:catAx>
      <c:valAx>
        <c:axId val="173730048"/>
        <c:scaling>
          <c:orientation val="minMax"/>
        </c:scaling>
        <c:axPos val="l"/>
        <c:majorGridlines/>
        <c:numFmt formatCode="General" sourceLinked="1"/>
        <c:tickLblPos val="nextTo"/>
        <c:crossAx val="173728512"/>
        <c:crosses val="autoZero"/>
        <c:crossBetween val="between"/>
      </c:valAx>
    </c:plotArea>
    <c:legend>
      <c:legendPos val="r"/>
      <c:spPr>
        <a:solidFill>
          <a:sysClr val="window" lastClr="FFFFFF"/>
        </a:solidFill>
      </c:spPr>
    </c:legend>
    <c:plotVisOnly val="1"/>
  </c:chart>
  <c:spPr>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6200000" scaled="1"/>
      <a:tileRect/>
    </a:gradFill>
  </c:spPr>
  <c:externalData r:id="rId1"/>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Times New Roman"/>
                <a:ea typeface="Times New Roman"/>
                <a:cs typeface="Times New Roman"/>
              </a:defRPr>
            </a:pPr>
            <a:r>
              <a:rPr lang="lt-LT" sz="1200"/>
              <a:t>Į Savivaldybės mokyklas vežamų mokinių skaičius </a:t>
            </a:r>
          </a:p>
        </c:rich>
      </c:tx>
      <c:layout>
        <c:manualLayout>
          <c:xMode val="edge"/>
          <c:yMode val="edge"/>
          <c:x val="0.16545475463412543"/>
          <c:y val="3.8910375173691551E-2"/>
        </c:manualLayout>
      </c:layout>
      <c:spPr>
        <a:noFill/>
        <a:ln w="25400">
          <a:noFill/>
        </a:ln>
      </c:spPr>
    </c:title>
    <c:view3D>
      <c:hPercent val="36"/>
      <c:depthPercent val="100"/>
      <c:rAngAx val="1"/>
    </c:view3D>
    <c:floor>
      <c:spPr>
        <a:solidFill>
          <a:srgbClr val="C0C0C0"/>
        </a:solidFill>
        <a:ln w="3175">
          <a:solidFill>
            <a:srgbClr val="000000"/>
          </a:solidFill>
          <a:prstDash val="solid"/>
        </a:ln>
      </c:spPr>
    </c:floor>
    <c:sideWall>
      <c:spPr>
        <a:solidFill>
          <a:srgbClr val="FFFF00"/>
        </a:solidFill>
        <a:ln w="12700">
          <a:solidFill>
            <a:srgbClr val="808080"/>
          </a:solidFill>
          <a:prstDash val="solid"/>
        </a:ln>
      </c:spPr>
    </c:sideWall>
    <c:backWall>
      <c:spPr>
        <a:solidFill>
          <a:srgbClr val="FFFF00"/>
        </a:solidFill>
        <a:ln w="12700">
          <a:solidFill>
            <a:srgbClr val="808080"/>
          </a:solidFill>
          <a:prstDash val="solid"/>
        </a:ln>
      </c:spPr>
    </c:backWall>
    <c:plotArea>
      <c:layout>
        <c:manualLayout>
          <c:layoutTarget val="inner"/>
          <c:xMode val="edge"/>
          <c:yMode val="edge"/>
          <c:x val="7.0909153861109603E-2"/>
          <c:y val="0.20622568093385213"/>
          <c:w val="0.90363716587105658"/>
          <c:h val="0.64591439688715968"/>
        </c:manualLayout>
      </c:layout>
      <c:bar3DChart>
        <c:barDir val="col"/>
        <c:grouping val="clustered"/>
        <c:ser>
          <c:idx val="0"/>
          <c:order val="0"/>
          <c:tx>
            <c:strRef>
              <c:f>Sheet1!$A$40</c:f>
              <c:strCache>
                <c:ptCount val="1"/>
                <c:pt idx="0">
                  <c:v>Vežamų mokinių skaičius, vnt.</c:v>
                </c:pt>
              </c:strCache>
            </c:strRef>
          </c:tx>
          <c:spPr>
            <a:solidFill>
              <a:srgbClr val="9999FF"/>
            </a:solidFill>
            <a:ln w="12700">
              <a:solidFill>
                <a:srgbClr val="000000"/>
              </a:solidFill>
              <a:prstDash val="solid"/>
            </a:ln>
          </c:spPr>
          <c:dLbls>
            <c:dLbl>
              <c:idx val="0"/>
              <c:layout>
                <c:manualLayout>
                  <c:x val="1.6617527192459045E-2"/>
                  <c:y val="-5.2849476937680433E-2"/>
                </c:manualLayout>
              </c:layout>
              <c:showVal val="1"/>
            </c:dLbl>
            <c:dLbl>
              <c:idx val="1"/>
              <c:layout>
                <c:manualLayout>
                  <c:x val="2.0596544795783277E-2"/>
                  <c:y val="-6.3254387319232108E-2"/>
                </c:manualLayout>
              </c:layout>
              <c:showVal val="1"/>
            </c:dLbl>
            <c:dLbl>
              <c:idx val="2"/>
              <c:layout>
                <c:manualLayout>
                  <c:x val="1.5029269186819795E-2"/>
                  <c:y val="-8.306142002918343E-2"/>
                </c:manualLayout>
              </c:layout>
              <c:showVal val="1"/>
            </c:dLbl>
            <c:spPr>
              <a:noFill/>
              <a:ln w="25400">
                <a:noFill/>
              </a:ln>
            </c:spPr>
            <c:txPr>
              <a:bodyPr/>
              <a:lstStyle/>
              <a:p>
                <a:pPr>
                  <a:defRPr sz="1000" b="1" i="0" u="none" strike="noStrike" baseline="0">
                    <a:solidFill>
                      <a:srgbClr val="000000"/>
                    </a:solidFill>
                    <a:latin typeface="Times New Roman" pitchFamily="18" charset="0"/>
                    <a:ea typeface="Arial"/>
                    <a:cs typeface="Times New Roman" pitchFamily="18" charset="0"/>
                  </a:defRPr>
                </a:pPr>
                <a:endParaRPr lang="lt-LT"/>
              </a:p>
            </c:txPr>
            <c:showVal val="1"/>
          </c:dLbls>
          <c:cat>
            <c:strRef>
              <c:f>Sheet1!$B$39:$D$39</c:f>
              <c:strCache>
                <c:ptCount val="3"/>
                <c:pt idx="0">
                  <c:v>2013 metai </c:v>
                </c:pt>
                <c:pt idx="1">
                  <c:v>2014 metai</c:v>
                </c:pt>
                <c:pt idx="2">
                  <c:v>2015 metai</c:v>
                </c:pt>
              </c:strCache>
            </c:strRef>
          </c:cat>
          <c:val>
            <c:numRef>
              <c:f>Sheet1!$B$40:$D$40</c:f>
              <c:numCache>
                <c:formatCode>General</c:formatCode>
                <c:ptCount val="3"/>
                <c:pt idx="0">
                  <c:v>491</c:v>
                </c:pt>
                <c:pt idx="1">
                  <c:v>448</c:v>
                </c:pt>
                <c:pt idx="2">
                  <c:v>434</c:v>
                </c:pt>
              </c:numCache>
            </c:numRef>
          </c:val>
        </c:ser>
        <c:dLbls>
          <c:showVal val="1"/>
        </c:dLbls>
        <c:shape val="cylinder"/>
        <c:axId val="184138368"/>
        <c:axId val="184140160"/>
        <c:axId val="0"/>
      </c:bar3DChart>
      <c:catAx>
        <c:axId val="184138368"/>
        <c:scaling>
          <c:orientation val="minMax"/>
        </c:scaling>
        <c:axPos val="b"/>
        <c:numFmt formatCode="General" sourceLinked="1"/>
        <c:tickLblPos val="low"/>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a:cs typeface="Times New Roman" pitchFamily="18" charset="0"/>
              </a:defRPr>
            </a:pPr>
            <a:endParaRPr lang="lt-LT"/>
          </a:p>
        </c:txPr>
        <c:crossAx val="184140160"/>
        <c:crosses val="autoZero"/>
        <c:lblAlgn val="ctr"/>
        <c:lblOffset val="100"/>
        <c:tickLblSkip val="1"/>
        <c:tickMarkSkip val="1"/>
      </c:catAx>
      <c:valAx>
        <c:axId val="18414016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lt-LT"/>
          </a:p>
        </c:txPr>
        <c:crossAx val="184138368"/>
        <c:crosses val="autoZero"/>
        <c:crossBetween val="between"/>
      </c:valAx>
      <c:spPr>
        <a:noFill/>
        <a:ln w="25400">
          <a:noFill/>
        </a:ln>
      </c:spPr>
    </c:plotArea>
    <c:plotVisOnly val="1"/>
    <c:dispBlanksAs val="gap"/>
  </c:chart>
  <c:spPr>
    <a:gradFill rotWithShape="0">
      <a:gsLst>
        <a:gs pos="0">
          <a:srgbClr val="9CB86E"/>
        </a:gs>
        <a:gs pos="50000">
          <a:srgbClr val="9CB86E"/>
        </a:gs>
        <a:gs pos="91000">
          <a:srgbClr val="FEFAC9"/>
        </a:gs>
        <a:gs pos="100000">
          <a:srgbClr val="008000"/>
        </a:gs>
      </a:gsLst>
      <a:lin ang="5400000"/>
    </a:gra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lt-LT"/>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a:latin typeface="Times New Roman" pitchFamily="18" charset="0"/>
                <a:cs typeface="Times New Roman" pitchFamily="18" charset="0"/>
              </a:defRPr>
            </a:pPr>
            <a:r>
              <a:rPr lang="lt-LT" sz="1200">
                <a:latin typeface="Times New Roman" pitchFamily="18" charset="0"/>
                <a:cs typeface="Times New Roman" pitchFamily="18" charset="0"/>
              </a:rPr>
              <a:t> 2015 m. į Savivaldybės mokyklas mokiniai vežami</a:t>
            </a:r>
          </a:p>
        </c:rich>
      </c:tx>
      <c:overlay val="1"/>
    </c:title>
    <c:view3D>
      <c:rotX val="30"/>
      <c:perspective val="30"/>
    </c:view3D>
    <c:plotArea>
      <c:layout/>
      <c:pie3DChart>
        <c:varyColors val="1"/>
        <c:ser>
          <c:idx val="0"/>
          <c:order val="0"/>
          <c:dLbls>
            <c:dLbl>
              <c:idx val="0"/>
              <c:layout>
                <c:manualLayout>
                  <c:x val="-0.14816852580927384"/>
                  <c:y val="3.5499052201808122E-2"/>
                </c:manualLayout>
              </c:layout>
              <c:showVal val="1"/>
            </c:dLbl>
            <c:dLbl>
              <c:idx val="1"/>
              <c:layout>
                <c:manualLayout>
                  <c:x val="0.15302537182852144"/>
                  <c:y val="-7.3681831437737003E-2"/>
                </c:manualLayout>
              </c:layout>
              <c:showVal val="1"/>
            </c:dLbl>
            <c:showVal val="1"/>
            <c:showLeaderLines val="1"/>
          </c:dLbls>
          <c:cat>
            <c:strRef>
              <c:f>Sheet1!$A$148:$A$149</c:f>
              <c:strCache>
                <c:ptCount val="2"/>
                <c:pt idx="0">
                  <c:v>Mokykliniais autobusais</c:v>
                </c:pt>
                <c:pt idx="1">
                  <c:v>Privačiu transportu (UAB „Šakyna)</c:v>
                </c:pt>
              </c:strCache>
            </c:strRef>
          </c:cat>
          <c:val>
            <c:numRef>
              <c:f>Sheet1!$B$148:$B$149</c:f>
              <c:numCache>
                <c:formatCode>General</c:formatCode>
                <c:ptCount val="2"/>
                <c:pt idx="0">
                  <c:v>188</c:v>
                </c:pt>
                <c:pt idx="1">
                  <c:v>246</c:v>
                </c:pt>
              </c:numCache>
            </c:numRef>
          </c:val>
        </c:ser>
        <c:dLbls>
          <c:showVal val="1"/>
        </c:dLbls>
      </c:pie3DChart>
    </c:plotArea>
    <c:legend>
      <c:legendPos val="r"/>
    </c:legend>
    <c:plotVisOnly val="1"/>
  </c:chart>
  <c:spPr>
    <a:solidFill>
      <a:srgbClr val="92D050"/>
    </a:solidFill>
  </c:sp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100">
                <a:latin typeface="Times New Roman" pitchFamily="18" charset="0"/>
                <a:cs typeface="Times New Roman" pitchFamily="18" charset="0"/>
              </a:defRPr>
            </a:pPr>
            <a:r>
              <a:rPr lang="lt-LT"/>
              <a:t>Važiuojančių gyventojų skaičius vietiniais maršrutais -</a:t>
            </a:r>
            <a:r>
              <a:rPr lang="lt-LT" baseline="0"/>
              <a:t> </a:t>
            </a:r>
            <a:r>
              <a:rPr lang="lt-LT"/>
              <a:t> vidut. per 1 mėn.</a:t>
            </a:r>
          </a:p>
        </c:rich>
      </c:tx>
    </c:title>
    <c:view3D>
      <c:rAngAx val="1"/>
    </c:view3D>
    <c:sideWall>
      <c:spPr>
        <a:solidFill>
          <a:srgbClr val="FFFF00"/>
        </a:solidFill>
      </c:spPr>
    </c:sideWall>
    <c:backWall>
      <c:spPr>
        <a:solidFill>
          <a:srgbClr val="FFFF00"/>
        </a:solidFill>
      </c:spPr>
    </c:backWall>
    <c:plotArea>
      <c:layout/>
      <c:bar3DChart>
        <c:barDir val="col"/>
        <c:grouping val="clustered"/>
        <c:ser>
          <c:idx val="0"/>
          <c:order val="0"/>
          <c:tx>
            <c:strRef>
              <c:f>Sheet1!$A$44</c:f>
              <c:strCache>
                <c:ptCount val="1"/>
                <c:pt idx="0">
                  <c:v>Važiuojančių gyventojų skaičius vietiniais maršrutais vidut. per 1 mėn.</c:v>
                </c:pt>
              </c:strCache>
            </c:strRef>
          </c:tx>
          <c:dLbls>
            <c:dLbl>
              <c:idx val="0"/>
              <c:layout>
                <c:manualLayout>
                  <c:x val="5.5555555555555558E-3"/>
                  <c:y val="-5.5555555555555455E-2"/>
                </c:manualLayout>
              </c:layout>
              <c:spPr/>
              <c:txPr>
                <a:bodyPr/>
                <a:lstStyle/>
                <a:p>
                  <a:pPr>
                    <a:defRPr sz="1100" b="1">
                      <a:latin typeface="Times New Roman" pitchFamily="18" charset="0"/>
                      <a:cs typeface="Times New Roman" pitchFamily="18" charset="0"/>
                    </a:defRPr>
                  </a:pPr>
                  <a:endParaRPr lang="lt-LT"/>
                </a:p>
              </c:txPr>
              <c:showVal val="1"/>
            </c:dLbl>
            <c:dLbl>
              <c:idx val="1"/>
              <c:layout>
                <c:manualLayout>
                  <c:x val="8.3333333333333367E-3"/>
                  <c:y val="-7.407407407407407E-2"/>
                </c:manualLayout>
              </c:layout>
              <c:spPr/>
              <c:txPr>
                <a:bodyPr/>
                <a:lstStyle/>
                <a:p>
                  <a:pPr>
                    <a:defRPr sz="1050" b="1">
                      <a:latin typeface="Times New Roman" pitchFamily="18" charset="0"/>
                      <a:cs typeface="Times New Roman" pitchFamily="18" charset="0"/>
                    </a:defRPr>
                  </a:pPr>
                  <a:endParaRPr lang="lt-LT"/>
                </a:p>
              </c:txPr>
              <c:showVal val="1"/>
            </c:dLbl>
            <c:dLbl>
              <c:idx val="2"/>
              <c:layout>
                <c:manualLayout>
                  <c:x val="1.1111111111111125E-2"/>
                  <c:y val="-7.407407407407407E-2"/>
                </c:manualLayout>
              </c:layout>
              <c:spPr/>
              <c:txPr>
                <a:bodyPr/>
                <a:lstStyle/>
                <a:p>
                  <a:pPr>
                    <a:defRPr sz="1050" b="1">
                      <a:latin typeface="Times New Roman" pitchFamily="18" charset="0"/>
                      <a:cs typeface="Times New Roman" pitchFamily="18" charset="0"/>
                    </a:defRPr>
                  </a:pPr>
                  <a:endParaRPr lang="lt-LT"/>
                </a:p>
              </c:txPr>
              <c:showVal val="1"/>
            </c:dLbl>
            <c:showVal val="1"/>
          </c:dLbls>
          <c:cat>
            <c:strRef>
              <c:f>Sheet1!$B$43:$D$43</c:f>
              <c:strCache>
                <c:ptCount val="3"/>
                <c:pt idx="0">
                  <c:v>2013 metai </c:v>
                </c:pt>
                <c:pt idx="1">
                  <c:v>2014 metai</c:v>
                </c:pt>
                <c:pt idx="2">
                  <c:v>2015 metai</c:v>
                </c:pt>
              </c:strCache>
            </c:strRef>
          </c:cat>
          <c:val>
            <c:numRef>
              <c:f>Sheet1!$B$44:$D$44</c:f>
              <c:numCache>
                <c:formatCode>General</c:formatCode>
                <c:ptCount val="3"/>
                <c:pt idx="0">
                  <c:v>306</c:v>
                </c:pt>
                <c:pt idx="1">
                  <c:v>246</c:v>
                </c:pt>
                <c:pt idx="2">
                  <c:v>232</c:v>
                </c:pt>
              </c:numCache>
            </c:numRef>
          </c:val>
        </c:ser>
        <c:dLbls>
          <c:showVal val="1"/>
        </c:dLbls>
        <c:shape val="cylinder"/>
        <c:axId val="184197120"/>
        <c:axId val="184198656"/>
        <c:axId val="0"/>
      </c:bar3DChart>
      <c:catAx>
        <c:axId val="184197120"/>
        <c:scaling>
          <c:orientation val="minMax"/>
        </c:scaling>
        <c:axPos val="b"/>
        <c:tickLblPos val="nextTo"/>
        <c:txPr>
          <a:bodyPr/>
          <a:lstStyle/>
          <a:p>
            <a:pPr>
              <a:defRPr b="1"/>
            </a:pPr>
            <a:endParaRPr lang="lt-LT"/>
          </a:p>
        </c:txPr>
        <c:crossAx val="184198656"/>
        <c:crosses val="autoZero"/>
        <c:auto val="1"/>
        <c:lblAlgn val="ctr"/>
        <c:lblOffset val="100"/>
      </c:catAx>
      <c:valAx>
        <c:axId val="184198656"/>
        <c:scaling>
          <c:orientation val="minMax"/>
        </c:scaling>
        <c:axPos val="l"/>
        <c:majorGridlines/>
        <c:numFmt formatCode="General" sourceLinked="1"/>
        <c:tickLblPos val="nextTo"/>
        <c:crossAx val="184197120"/>
        <c:crosses val="autoZero"/>
        <c:crossBetween val="between"/>
      </c:valAx>
    </c:plotArea>
    <c:plotVisOnly val="1"/>
  </c:chart>
  <c:spPr>
    <a:solidFill>
      <a:srgbClr val="92D050"/>
    </a:solidFill>
  </c:sp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lt-LT"/>
  <c:chart>
    <c:autoTitleDeleted val="1"/>
    <c:plotArea>
      <c:layout>
        <c:manualLayout>
          <c:layoutTarget val="inner"/>
          <c:xMode val="edge"/>
          <c:yMode val="edge"/>
          <c:x val="0.15399610136452524"/>
          <c:y val="0.19063545150501696"/>
          <c:w val="0.46198830409357089"/>
          <c:h val="0.79264214046822745"/>
        </c:manualLayout>
      </c:layout>
      <c:pieChart>
        <c:varyColors val="1"/>
        <c:ser>
          <c:idx val="0"/>
          <c:order val="0"/>
          <c:tx>
            <c:strRef>
              <c:f>Sheet1!$A$2</c:f>
              <c:strCache>
                <c:ptCount val="1"/>
                <c:pt idx="0">
                  <c:v>Savivaldybės biudžetas</c:v>
                </c:pt>
              </c:strCache>
            </c:strRef>
          </c:tx>
          <c:spPr>
            <a:solidFill>
              <a:srgbClr val="BBE0E3"/>
            </a:solidFill>
            <a:ln w="9613">
              <a:solidFill>
                <a:srgbClr val="000000"/>
              </a:solidFill>
              <a:prstDash val="solid"/>
            </a:ln>
          </c:spPr>
          <c:dPt>
            <c:idx val="1"/>
            <c:spPr>
              <a:solidFill>
                <a:srgbClr val="333399"/>
              </a:solidFill>
              <a:ln w="9613">
                <a:solidFill>
                  <a:srgbClr val="000000"/>
                </a:solidFill>
                <a:prstDash val="solid"/>
              </a:ln>
            </c:spPr>
          </c:dPt>
          <c:dPt>
            <c:idx val="2"/>
            <c:spPr>
              <a:solidFill>
                <a:srgbClr val="009999"/>
              </a:solidFill>
              <a:ln w="9613">
                <a:solidFill>
                  <a:srgbClr val="000000"/>
                </a:solidFill>
                <a:prstDash val="solid"/>
              </a:ln>
            </c:spPr>
          </c:dPt>
          <c:dLbls>
            <c:spPr>
              <a:noFill/>
              <a:ln w="19245">
                <a:noFill/>
              </a:ln>
            </c:spPr>
            <c:txPr>
              <a:bodyPr/>
              <a:lstStyle/>
              <a:p>
                <a:pPr>
                  <a:defRPr sz="871" b="1" i="0" u="none" strike="noStrike" baseline="0">
                    <a:solidFill>
                      <a:srgbClr val="000000"/>
                    </a:solidFill>
                    <a:latin typeface="Arial"/>
                    <a:ea typeface="Arial"/>
                    <a:cs typeface="Arial"/>
                  </a:defRPr>
                </a:pPr>
                <a:endParaRPr lang="lt-LT"/>
              </a:p>
            </c:txPr>
            <c:showVal val="1"/>
            <c:showLeaderLines val="1"/>
          </c:dLbls>
          <c:cat>
            <c:strRef>
              <c:f>Sheet1!$B$1:$D$1</c:f>
              <c:strCache>
                <c:ptCount val="3"/>
                <c:pt idx="0">
                  <c:v>savivaldybės biudžetas</c:v>
                </c:pt>
                <c:pt idx="1">
                  <c:v>specialioji dotacija iš valstybės biudžeto</c:v>
                </c:pt>
                <c:pt idx="2">
                  <c:v>valstybės biudžeto lėšos (šalpos išmokos ir išmokos vaikams)</c:v>
                </c:pt>
              </c:strCache>
            </c:strRef>
          </c:cat>
          <c:val>
            <c:numRef>
              <c:f>Sheet1!$B$2:$D$2</c:f>
              <c:numCache>
                <c:formatCode>0.0</c:formatCode>
                <c:ptCount val="3"/>
                <c:pt idx="0" formatCode="General">
                  <c:v>347.9</c:v>
                </c:pt>
                <c:pt idx="1">
                  <c:v>194.3</c:v>
                </c:pt>
                <c:pt idx="2" formatCode="General">
                  <c:v>1201.5999999999999</c:v>
                </c:pt>
              </c:numCache>
            </c:numRef>
          </c:val>
        </c:ser>
        <c:ser>
          <c:idx val="1"/>
          <c:order val="1"/>
          <c:tx>
            <c:strRef>
              <c:f>Sheet1!$A$3</c:f>
              <c:strCache>
                <c:ptCount val="1"/>
                <c:pt idx="0">
                  <c:v>specialioji dotacija iš valstybės biudžeto</c:v>
                </c:pt>
              </c:strCache>
            </c:strRef>
          </c:tx>
          <c:spPr>
            <a:solidFill>
              <a:srgbClr val="333399"/>
            </a:solidFill>
            <a:ln w="9613">
              <a:solidFill>
                <a:srgbClr val="000000"/>
              </a:solidFill>
              <a:prstDash val="solid"/>
            </a:ln>
          </c:spPr>
          <c:dPt>
            <c:idx val="0"/>
            <c:spPr>
              <a:solidFill>
                <a:srgbClr val="BBE0E3"/>
              </a:solidFill>
              <a:ln w="9613">
                <a:solidFill>
                  <a:srgbClr val="000000"/>
                </a:solidFill>
                <a:prstDash val="solid"/>
              </a:ln>
            </c:spPr>
          </c:dPt>
          <c:dPt>
            <c:idx val="2"/>
            <c:spPr>
              <a:solidFill>
                <a:srgbClr val="009999"/>
              </a:solidFill>
              <a:ln w="9613">
                <a:solidFill>
                  <a:srgbClr val="000000"/>
                </a:solidFill>
                <a:prstDash val="solid"/>
              </a:ln>
            </c:spPr>
          </c:dPt>
          <c:cat>
            <c:strRef>
              <c:f>Sheet1!$B$1:$D$1</c:f>
              <c:strCache>
                <c:ptCount val="3"/>
                <c:pt idx="0">
                  <c:v>savivaldybės biudžetas</c:v>
                </c:pt>
                <c:pt idx="1">
                  <c:v>specialioji dotacija iš valstybės biudžeto</c:v>
                </c:pt>
                <c:pt idx="2">
                  <c:v>valstybės biudžeto lėšos (šalpos išmokos ir išmokos vaikams)</c:v>
                </c:pt>
              </c:strCache>
            </c:strRef>
          </c:cat>
          <c:val>
            <c:numRef>
              <c:f>Sheet1!$B$3:$D$3</c:f>
              <c:numCache>
                <c:formatCode>General</c:formatCode>
                <c:ptCount val="3"/>
                <c:pt idx="0">
                  <c:v>888.4</c:v>
                </c:pt>
                <c:pt idx="1">
                  <c:v>1285.3</c:v>
                </c:pt>
                <c:pt idx="2">
                  <c:v>194.3</c:v>
                </c:pt>
              </c:numCache>
            </c:numRef>
          </c:val>
        </c:ser>
        <c:ser>
          <c:idx val="2"/>
          <c:order val="2"/>
          <c:tx>
            <c:strRef>
              <c:f>Sheet1!$A$4</c:f>
              <c:strCache>
                <c:ptCount val="1"/>
                <c:pt idx="0">
                  <c:v>valstybės biudžeto lėšos (šalpos išmokos ir išmokos vaikams</c:v>
                </c:pt>
              </c:strCache>
            </c:strRef>
          </c:tx>
          <c:spPr>
            <a:solidFill>
              <a:srgbClr val="009999"/>
            </a:solidFill>
            <a:ln w="9613">
              <a:solidFill>
                <a:srgbClr val="000000"/>
              </a:solidFill>
              <a:prstDash val="solid"/>
            </a:ln>
          </c:spPr>
          <c:dPt>
            <c:idx val="0"/>
            <c:spPr>
              <a:solidFill>
                <a:srgbClr val="BBE0E3"/>
              </a:solidFill>
              <a:ln w="9613">
                <a:solidFill>
                  <a:srgbClr val="000000"/>
                </a:solidFill>
                <a:prstDash val="solid"/>
              </a:ln>
            </c:spPr>
          </c:dPt>
          <c:dPt>
            <c:idx val="1"/>
            <c:spPr>
              <a:solidFill>
                <a:srgbClr val="333399"/>
              </a:solidFill>
              <a:ln w="9613">
                <a:solidFill>
                  <a:srgbClr val="000000"/>
                </a:solidFill>
                <a:prstDash val="solid"/>
              </a:ln>
            </c:spPr>
          </c:dPt>
          <c:cat>
            <c:strRef>
              <c:f>Sheet1!$B$1:$D$1</c:f>
              <c:strCache>
                <c:ptCount val="3"/>
                <c:pt idx="0">
                  <c:v>savivaldybės biudžetas</c:v>
                </c:pt>
                <c:pt idx="1">
                  <c:v>specialioji dotacija iš valstybės biudžeto</c:v>
                </c:pt>
                <c:pt idx="2">
                  <c:v>valstybės biudžeto lėšos (šalpos išmokos ir išmokos vaikams)</c:v>
                </c:pt>
              </c:strCache>
            </c:strRef>
          </c:cat>
          <c:val>
            <c:numRef>
              <c:f>Sheet1!$B$4:$D$4</c:f>
              <c:numCache>
                <c:formatCode>General</c:formatCode>
                <c:ptCount val="3"/>
                <c:pt idx="0">
                  <c:v>3446.5</c:v>
                </c:pt>
                <c:pt idx="1">
                  <c:v>5301.8</c:v>
                </c:pt>
                <c:pt idx="2">
                  <c:v>347.9</c:v>
                </c:pt>
              </c:numCache>
            </c:numRef>
          </c:val>
        </c:ser>
        <c:firstSliceAng val="0"/>
      </c:pieChart>
      <c:spPr>
        <a:solidFill>
          <a:srgbClr val="C0C0C0"/>
        </a:solidFill>
        <a:ln w="9613">
          <a:solidFill>
            <a:srgbClr val="808080"/>
          </a:solidFill>
          <a:prstDash val="solid"/>
        </a:ln>
      </c:spPr>
    </c:plotArea>
    <c:legend>
      <c:legendPos val="r"/>
      <c:layout>
        <c:manualLayout>
          <c:xMode val="edge"/>
          <c:yMode val="edge"/>
          <c:x val="0.71597633136094652"/>
          <c:y val="0.20274914089347429"/>
          <c:w val="0.28402366863905842"/>
          <c:h val="0.7010309278350515"/>
        </c:manualLayout>
      </c:layout>
      <c:spPr>
        <a:noFill/>
        <a:ln w="2403">
          <a:solidFill>
            <a:srgbClr val="000000"/>
          </a:solidFill>
          <a:prstDash val="solid"/>
        </a:ln>
      </c:spPr>
      <c:txPr>
        <a:bodyPr/>
        <a:lstStyle/>
        <a:p>
          <a:pPr>
            <a:defRPr sz="696" b="0" i="0" u="none" strike="noStrike" baseline="0">
              <a:solidFill>
                <a:srgbClr val="000000"/>
              </a:solidFill>
              <a:latin typeface="Times New Roman"/>
              <a:ea typeface="Times New Roman"/>
              <a:cs typeface="Times New Roman"/>
            </a:defRPr>
          </a:pPr>
          <a:endParaRPr lang="lt-LT"/>
        </a:p>
      </c:txPr>
    </c:legend>
    <c:plotVisOnly val="1"/>
    <c:dispBlanksAs val="zero"/>
  </c:chart>
  <c:spPr>
    <a:noFill/>
    <a:ln>
      <a:noFill/>
    </a:ln>
  </c:spPr>
  <c:txPr>
    <a:bodyPr/>
    <a:lstStyle/>
    <a:p>
      <a:pPr>
        <a:defRPr sz="985" b="1" i="0" u="none" strike="noStrike" baseline="0">
          <a:solidFill>
            <a:srgbClr val="000000"/>
          </a:solidFill>
          <a:latin typeface="Arial"/>
          <a:ea typeface="Arial"/>
          <a:cs typeface="Arial"/>
        </a:defRPr>
      </a:pPr>
      <a:endParaRPr lang="lt-LT"/>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Times New Roman"/>
                <a:ea typeface="Times New Roman"/>
                <a:cs typeface="Times New Roman"/>
              </a:defRPr>
            </a:pPr>
            <a:r>
              <a:rPr lang="lt-LT"/>
              <a:t>Santuokos</a:t>
            </a:r>
          </a:p>
        </c:rich>
      </c:tx>
      <c:layout>
        <c:manualLayout>
          <c:xMode val="edge"/>
          <c:yMode val="edge"/>
          <c:x val="0.39890710382513916"/>
          <c:y val="2.0000000000000011E-2"/>
        </c:manualLayout>
      </c:layout>
      <c:spPr>
        <a:noFill/>
        <a:ln w="25400">
          <a:noFill/>
        </a:ln>
      </c:spPr>
    </c:title>
    <c:plotArea>
      <c:layout>
        <c:manualLayout>
          <c:layoutTarget val="inner"/>
          <c:xMode val="edge"/>
          <c:yMode val="edge"/>
          <c:x val="9.8360655737704944E-2"/>
          <c:y val="0.30000000000000032"/>
          <c:w val="0.87431693989070958"/>
          <c:h val="0.48333333333333334"/>
        </c:manualLayout>
      </c:layout>
      <c:barChart>
        <c:barDir val="col"/>
        <c:grouping val="clustered"/>
        <c:ser>
          <c:idx val="0"/>
          <c:order val="0"/>
          <c:tx>
            <c:strRef>
              <c:f>Sheet1!$A$2</c:f>
              <c:strCache>
                <c:ptCount val="1"/>
                <c:pt idx="0">
                  <c:v>Santuokos</c:v>
                </c:pt>
              </c:strCache>
            </c:strRef>
          </c:tx>
          <c:spPr>
            <a:solidFill>
              <a:srgbClr val="9999FF"/>
            </a:solidFill>
            <a:ln w="12700">
              <a:solidFill>
                <a:srgbClr val="000000"/>
              </a:solidFill>
              <a:prstDash val="solid"/>
            </a:ln>
          </c:spPr>
          <c:dLbls>
            <c:dLbl>
              <c:idx val="0"/>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dLbl>
            <c:dLbl>
              <c:idx val="1"/>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dLbl>
            <c:dLbl>
              <c:idx val="2"/>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dLbl>
            <c:spPr>
              <a:noFill/>
              <a:ln w="25400">
                <a:noFill/>
              </a:ln>
            </c:spPr>
            <c:txPr>
              <a:bodyPr/>
              <a:lstStyle/>
              <a:p>
                <a:pPr>
                  <a:defRPr sz="1000" b="0"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Sheet1!$B$2:$D$2</c:f>
              <c:numCache>
                <c:formatCode>General</c:formatCode>
                <c:ptCount val="3"/>
                <c:pt idx="0">
                  <c:v>47</c:v>
                </c:pt>
                <c:pt idx="1">
                  <c:v>54</c:v>
                </c:pt>
                <c:pt idx="2">
                  <c:v>55</c:v>
                </c:pt>
              </c:numCache>
            </c:numRef>
          </c:val>
        </c:ser>
        <c:dLbls>
          <c:showVal val="1"/>
        </c:dLbls>
        <c:axId val="168614912"/>
        <c:axId val="168711296"/>
      </c:barChart>
      <c:catAx>
        <c:axId val="168614912"/>
        <c:scaling>
          <c:orientation val="minMax"/>
        </c:scaling>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8907103825136611"/>
              <c:y val="0.88666666666666649"/>
            </c:manualLayout>
          </c:layout>
          <c:spPr>
            <a:noFill/>
            <a:ln w="25400">
              <a:noFill/>
            </a:ln>
          </c:spPr>
        </c:title>
        <c:numFmt formatCode="General" sourceLinked="1"/>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168711296"/>
        <c:crosses val="autoZero"/>
        <c:auto val="1"/>
        <c:lblAlgn val="ctr"/>
        <c:lblOffset val="100"/>
        <c:tickLblSkip val="1"/>
        <c:tickMarkSkip val="1"/>
      </c:catAx>
      <c:valAx>
        <c:axId val="16871129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168614912"/>
        <c:crosses val="autoZero"/>
        <c:crossBetween val="between"/>
        <c:majorUnit val="10"/>
        <c:minorUnit val="1"/>
      </c:valAx>
      <c:spPr>
        <a:solidFill>
          <a:srgbClr val="FFFFFF"/>
        </a:solidFill>
        <a:ln w="12700">
          <a:solidFill>
            <a:srgbClr val="808080"/>
          </a:solidFill>
          <a:prstDash val="solid"/>
        </a:ln>
      </c:spPr>
    </c:plotArea>
    <c:legend>
      <c:legendPos val="t"/>
      <c:layout>
        <c:manualLayout>
          <c:xMode val="edge"/>
          <c:yMode val="edge"/>
          <c:x val="0.42622950819672134"/>
          <c:y val="0.1466666666666667"/>
          <c:w val="0.21857923497267912"/>
          <c:h val="8.0000000000000043E-2"/>
        </c:manualLayout>
      </c:layout>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1050" b="1" i="0" u="none" strike="noStrike" baseline="0">
          <a:solidFill>
            <a:srgbClr val="000000"/>
          </a:solidFill>
          <a:latin typeface="Arial"/>
          <a:ea typeface="Arial"/>
          <a:cs typeface="Arial"/>
        </a:defRPr>
      </a:pPr>
      <a:endParaRPr lang="lt-LT"/>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lt-LT"/>
  <c:chart>
    <c:plotArea>
      <c:layout>
        <c:manualLayout>
          <c:layoutTarget val="inner"/>
          <c:xMode val="edge"/>
          <c:yMode val="edge"/>
          <c:x val="0.10909090909090922"/>
          <c:y val="7.8291814946619423E-2"/>
          <c:w val="0.44646464646465039"/>
          <c:h val="0.68683274021352314"/>
        </c:manualLayout>
      </c:layout>
      <c:lineChart>
        <c:grouping val="standard"/>
        <c:ser>
          <c:idx val="0"/>
          <c:order val="0"/>
          <c:tx>
            <c:strRef>
              <c:f>Sheet1!$A$2</c:f>
              <c:strCache>
                <c:ptCount val="1"/>
                <c:pt idx="0">
                  <c:v>valstybės biudžeto lėšos (šalpos išmokos ir išmokos vaikams</c:v>
                </c:pt>
              </c:strCache>
            </c:strRef>
          </c:tx>
          <c:spPr>
            <a:ln w="10153">
              <a:solidFill>
                <a:srgbClr val="FF0000"/>
              </a:solidFill>
              <a:prstDash val="solid"/>
            </a:ln>
          </c:spPr>
          <c:marker>
            <c:symbol val="diamond"/>
            <c:size val="3"/>
            <c:spPr>
              <a:solidFill>
                <a:srgbClr val="FF0000"/>
              </a:solidFill>
              <a:ln>
                <a:solidFill>
                  <a:srgbClr val="FF0000"/>
                </a:solidFill>
                <a:prstDash val="solid"/>
              </a:ln>
            </c:spPr>
          </c:marker>
          <c:dLbls>
            <c:spPr>
              <a:noFill/>
              <a:ln w="20307">
                <a:noFill/>
              </a:ln>
            </c:spPr>
            <c:txPr>
              <a:bodyPr/>
              <a:lstStyle/>
              <a:p>
                <a:pPr>
                  <a:defRPr sz="640" b="1" i="0" u="none" strike="noStrike" baseline="0">
                    <a:solidFill>
                      <a:srgbClr val="000000"/>
                    </a:solidFill>
                    <a:latin typeface="Arial"/>
                    <a:ea typeface="Arial"/>
                    <a:cs typeface="Arial"/>
                  </a:defRPr>
                </a:pPr>
                <a:endParaRPr lang="lt-LT"/>
              </a:p>
            </c:txPr>
            <c:showVal val="1"/>
          </c:dLbls>
          <c:cat>
            <c:strRef>
              <c:f>Sheet1!$B$1:$E$1</c:f>
              <c:strCache>
                <c:ptCount val="3"/>
                <c:pt idx="0">
                  <c:v>2013 m. Viso:    2016,1</c:v>
                </c:pt>
                <c:pt idx="1">
                  <c:v>2014 m. Viso:    1816,9</c:v>
                </c:pt>
                <c:pt idx="2">
                  <c:v>2015 m. Viso:    1743,8</c:v>
                </c:pt>
              </c:strCache>
            </c:strRef>
          </c:cat>
          <c:val>
            <c:numRef>
              <c:f>Sheet1!$B$2:$E$2</c:f>
              <c:numCache>
                <c:formatCode>General</c:formatCode>
                <c:ptCount val="3"/>
                <c:pt idx="0" formatCode="0.0">
                  <c:v>1163.7</c:v>
                </c:pt>
                <c:pt idx="1">
                  <c:v>1173.5</c:v>
                </c:pt>
                <c:pt idx="2">
                  <c:v>1201.5999999999999</c:v>
                </c:pt>
              </c:numCache>
            </c:numRef>
          </c:val>
        </c:ser>
        <c:ser>
          <c:idx val="1"/>
          <c:order val="1"/>
          <c:tx>
            <c:strRef>
              <c:f>Sheet1!$A$3</c:f>
              <c:strCache>
                <c:ptCount val="1"/>
                <c:pt idx="0">
                  <c:v>specialioji dotacija iš valstybės biudžeto</c:v>
                </c:pt>
              </c:strCache>
            </c:strRef>
          </c:tx>
          <c:spPr>
            <a:ln w="10153">
              <a:solidFill>
                <a:srgbClr val="FFFF00"/>
              </a:solidFill>
              <a:prstDash val="solid"/>
            </a:ln>
          </c:spPr>
          <c:marker>
            <c:symbol val="square"/>
            <c:size val="3"/>
            <c:spPr>
              <a:solidFill>
                <a:srgbClr val="FFFF00"/>
              </a:solidFill>
              <a:ln>
                <a:solidFill>
                  <a:srgbClr val="FFFF00"/>
                </a:solidFill>
                <a:prstDash val="solid"/>
              </a:ln>
            </c:spPr>
          </c:marker>
          <c:dLbls>
            <c:spPr>
              <a:noFill/>
              <a:ln w="20307">
                <a:noFill/>
              </a:ln>
            </c:spPr>
            <c:txPr>
              <a:bodyPr/>
              <a:lstStyle/>
              <a:p>
                <a:pPr>
                  <a:defRPr sz="640" b="1" i="0" u="none" strike="noStrike" baseline="0">
                    <a:solidFill>
                      <a:srgbClr val="000000"/>
                    </a:solidFill>
                    <a:latin typeface="Arial"/>
                    <a:ea typeface="Arial"/>
                    <a:cs typeface="Arial"/>
                  </a:defRPr>
                </a:pPr>
                <a:endParaRPr lang="lt-LT"/>
              </a:p>
            </c:txPr>
            <c:showVal val="1"/>
          </c:dLbls>
          <c:cat>
            <c:strRef>
              <c:f>Sheet1!$B$1:$E$1</c:f>
              <c:strCache>
                <c:ptCount val="3"/>
                <c:pt idx="0">
                  <c:v>2013 m. Viso:    2016,1</c:v>
                </c:pt>
                <c:pt idx="1">
                  <c:v>2014 m. Viso:    1816,9</c:v>
                </c:pt>
                <c:pt idx="2">
                  <c:v>2015 m. Viso:    1743,8</c:v>
                </c:pt>
              </c:strCache>
            </c:strRef>
          </c:cat>
          <c:val>
            <c:numRef>
              <c:f>Sheet1!$B$3:$E$3</c:f>
              <c:numCache>
                <c:formatCode>General</c:formatCode>
                <c:ptCount val="3"/>
                <c:pt idx="0">
                  <c:v>771</c:v>
                </c:pt>
                <c:pt idx="1">
                  <c:v>258.7</c:v>
                </c:pt>
                <c:pt idx="2" formatCode="0.0">
                  <c:v>194.3</c:v>
                </c:pt>
              </c:numCache>
            </c:numRef>
          </c:val>
        </c:ser>
        <c:ser>
          <c:idx val="2"/>
          <c:order val="2"/>
          <c:tx>
            <c:strRef>
              <c:f>Sheet1!$A$4</c:f>
              <c:strCache>
                <c:ptCount val="1"/>
                <c:pt idx="0">
                  <c:v>Savivaldybės biudžetas</c:v>
                </c:pt>
              </c:strCache>
            </c:strRef>
          </c:tx>
          <c:spPr>
            <a:ln w="10153">
              <a:solidFill>
                <a:srgbClr val="00FF00"/>
              </a:solidFill>
              <a:prstDash val="solid"/>
            </a:ln>
          </c:spPr>
          <c:marker>
            <c:symbol val="triangle"/>
            <c:size val="3"/>
            <c:spPr>
              <a:solidFill>
                <a:srgbClr val="00FF00"/>
              </a:solidFill>
              <a:ln>
                <a:solidFill>
                  <a:srgbClr val="00FF00"/>
                </a:solidFill>
                <a:prstDash val="solid"/>
              </a:ln>
            </c:spPr>
          </c:marker>
          <c:dLbls>
            <c:spPr>
              <a:noFill/>
              <a:ln w="20307">
                <a:noFill/>
              </a:ln>
            </c:spPr>
            <c:txPr>
              <a:bodyPr/>
              <a:lstStyle/>
              <a:p>
                <a:pPr>
                  <a:defRPr sz="640" b="1" i="0" u="none" strike="noStrike" baseline="0">
                    <a:solidFill>
                      <a:srgbClr val="000000"/>
                    </a:solidFill>
                    <a:latin typeface="Arial"/>
                    <a:ea typeface="Arial"/>
                    <a:cs typeface="Arial"/>
                  </a:defRPr>
                </a:pPr>
                <a:endParaRPr lang="lt-LT"/>
              </a:p>
            </c:txPr>
            <c:showVal val="1"/>
          </c:dLbls>
          <c:cat>
            <c:strRef>
              <c:f>Sheet1!$B$1:$E$1</c:f>
              <c:strCache>
                <c:ptCount val="3"/>
                <c:pt idx="0">
                  <c:v>2013 m. Viso:    2016,1</c:v>
                </c:pt>
                <c:pt idx="1">
                  <c:v>2014 m. Viso:    1816,9</c:v>
                </c:pt>
                <c:pt idx="2">
                  <c:v>2015 m. Viso:    1743,8</c:v>
                </c:pt>
              </c:strCache>
            </c:strRef>
          </c:cat>
          <c:val>
            <c:numRef>
              <c:f>Sheet1!$B$4:$E$4</c:f>
              <c:numCache>
                <c:formatCode>General</c:formatCode>
                <c:ptCount val="3"/>
                <c:pt idx="0">
                  <c:v>81.400000000000006</c:v>
                </c:pt>
                <c:pt idx="1">
                  <c:v>384.7</c:v>
                </c:pt>
                <c:pt idx="2">
                  <c:v>347.9</c:v>
                </c:pt>
              </c:numCache>
            </c:numRef>
          </c:val>
        </c:ser>
        <c:marker val="1"/>
        <c:axId val="172463616"/>
        <c:axId val="172465152"/>
      </c:lineChart>
      <c:catAx>
        <c:axId val="172463616"/>
        <c:scaling>
          <c:orientation val="minMax"/>
        </c:scaling>
        <c:axPos val="b"/>
        <c:numFmt formatCode="General" sourceLinked="1"/>
        <c:tickLblPos val="nextTo"/>
        <c:spPr>
          <a:ln w="2538">
            <a:solidFill>
              <a:srgbClr val="000000"/>
            </a:solidFill>
            <a:prstDash val="solid"/>
          </a:ln>
        </c:spPr>
        <c:txPr>
          <a:bodyPr rot="0" vert="horz"/>
          <a:lstStyle/>
          <a:p>
            <a:pPr>
              <a:defRPr sz="640" b="1" i="0" u="none" strike="noStrike" baseline="0">
                <a:solidFill>
                  <a:srgbClr val="000000"/>
                </a:solidFill>
                <a:latin typeface="Arial"/>
                <a:ea typeface="Arial"/>
                <a:cs typeface="Arial"/>
              </a:defRPr>
            </a:pPr>
            <a:endParaRPr lang="lt-LT"/>
          </a:p>
        </c:txPr>
        <c:crossAx val="172465152"/>
        <c:crosses val="autoZero"/>
        <c:auto val="1"/>
        <c:lblAlgn val="ctr"/>
        <c:lblOffset val="100"/>
        <c:tickLblSkip val="1"/>
        <c:tickMarkSkip val="1"/>
      </c:catAx>
      <c:valAx>
        <c:axId val="172465152"/>
        <c:scaling>
          <c:orientation val="minMax"/>
        </c:scaling>
        <c:axPos val="l"/>
        <c:majorGridlines>
          <c:spPr>
            <a:ln w="10153">
              <a:solidFill>
                <a:srgbClr val="000000"/>
              </a:solidFill>
              <a:prstDash val="solid"/>
            </a:ln>
          </c:spPr>
        </c:majorGridlines>
        <c:numFmt formatCode="0.0" sourceLinked="1"/>
        <c:tickLblPos val="nextTo"/>
        <c:spPr>
          <a:ln w="2538">
            <a:solidFill>
              <a:srgbClr val="000000"/>
            </a:solidFill>
            <a:prstDash val="solid"/>
          </a:ln>
        </c:spPr>
        <c:txPr>
          <a:bodyPr rot="0" vert="horz"/>
          <a:lstStyle/>
          <a:p>
            <a:pPr>
              <a:defRPr sz="640" b="0" i="0" u="none" strike="noStrike" baseline="0">
                <a:solidFill>
                  <a:srgbClr val="000000"/>
                </a:solidFill>
                <a:latin typeface="Times New Roman"/>
                <a:ea typeface="Times New Roman"/>
                <a:cs typeface="Times New Roman"/>
              </a:defRPr>
            </a:pPr>
            <a:endParaRPr lang="lt-LT"/>
          </a:p>
        </c:txPr>
        <c:crossAx val="172463616"/>
        <c:crosses val="autoZero"/>
        <c:crossBetween val="between"/>
      </c:valAx>
      <c:spPr>
        <a:solidFill>
          <a:srgbClr val="C0C0C0"/>
        </a:solidFill>
        <a:ln w="10153">
          <a:solidFill>
            <a:srgbClr val="808080"/>
          </a:solidFill>
          <a:prstDash val="solid"/>
        </a:ln>
      </c:spPr>
    </c:plotArea>
    <c:legend>
      <c:legendPos val="r"/>
      <c:legendEntry>
        <c:idx val="0"/>
        <c:txPr>
          <a:bodyPr/>
          <a:lstStyle/>
          <a:p>
            <a:pPr>
              <a:defRPr sz="879" b="1" i="0" u="none" strike="noStrike" baseline="0">
                <a:solidFill>
                  <a:srgbClr val="000000"/>
                </a:solidFill>
                <a:latin typeface="Times New Roman"/>
                <a:ea typeface="Times New Roman"/>
                <a:cs typeface="Times New Roman"/>
              </a:defRPr>
            </a:pPr>
            <a:endParaRPr lang="lt-LT"/>
          </a:p>
        </c:txPr>
      </c:legendEntry>
      <c:legendEntry>
        <c:idx val="1"/>
        <c:txPr>
          <a:bodyPr/>
          <a:lstStyle/>
          <a:p>
            <a:pPr>
              <a:defRPr sz="879" b="1" i="0" u="none" strike="noStrike" baseline="0">
                <a:solidFill>
                  <a:srgbClr val="000000"/>
                </a:solidFill>
                <a:latin typeface="Times New Roman"/>
                <a:ea typeface="Times New Roman"/>
                <a:cs typeface="Times New Roman"/>
              </a:defRPr>
            </a:pPr>
            <a:endParaRPr lang="lt-LT"/>
          </a:p>
        </c:txPr>
      </c:legendEntry>
      <c:legendEntry>
        <c:idx val="2"/>
        <c:txPr>
          <a:bodyPr/>
          <a:lstStyle/>
          <a:p>
            <a:pPr>
              <a:defRPr sz="879" b="1" i="0" u="none" strike="noStrike" baseline="0">
                <a:solidFill>
                  <a:srgbClr val="000000"/>
                </a:solidFill>
                <a:latin typeface="Times New Roman"/>
                <a:ea typeface="Times New Roman"/>
                <a:cs typeface="Times New Roman"/>
              </a:defRPr>
            </a:pPr>
            <a:endParaRPr lang="lt-LT"/>
          </a:p>
        </c:txPr>
      </c:legendEntry>
      <c:layout>
        <c:manualLayout>
          <c:xMode val="edge"/>
          <c:yMode val="edge"/>
          <c:x val="0.57344064386318694"/>
          <c:y val="0.1552346570397112"/>
          <c:w val="0.41851106639839036"/>
          <c:h val="0.64259927797834693"/>
        </c:manualLayout>
      </c:layout>
      <c:spPr>
        <a:noFill/>
        <a:ln w="2538">
          <a:solidFill>
            <a:srgbClr val="000000"/>
          </a:solidFill>
          <a:prstDash val="solid"/>
        </a:ln>
      </c:spPr>
      <c:txPr>
        <a:bodyPr/>
        <a:lstStyle/>
        <a:p>
          <a:pPr>
            <a:defRPr sz="808"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979" b="1" i="0" u="none" strike="noStrike" baseline="0">
          <a:solidFill>
            <a:srgbClr val="000000"/>
          </a:solidFill>
          <a:latin typeface="Arial"/>
          <a:ea typeface="Arial"/>
          <a:cs typeface="Arial"/>
        </a:defRPr>
      </a:pPr>
      <a:endParaRPr lang="lt-LT"/>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lt-LT"/>
  <c:chart>
    <c:plotArea>
      <c:layout/>
      <c:lineChart>
        <c:grouping val="standard"/>
        <c:ser>
          <c:idx val="0"/>
          <c:order val="0"/>
          <c:tx>
            <c:strRef>
              <c:f>Lapas1!$B$1</c:f>
              <c:strCache>
                <c:ptCount val="1"/>
                <c:pt idx="0">
                  <c:v>Lėšos tūkst. Eurų</c:v>
                </c:pt>
              </c:strCache>
            </c:strRef>
          </c:tx>
          <c:dLbls>
            <c:spPr>
              <a:noFill/>
              <a:ln w="25385">
                <a:noFill/>
              </a:ln>
            </c:spPr>
            <c:showVal val="1"/>
          </c:dLbls>
          <c:cat>
            <c:strRef>
              <c:f>Lapas1!$A$2:$A$5</c:f>
              <c:strCache>
                <c:ptCount val="3"/>
                <c:pt idx="0">
                  <c:v>2013 m.</c:v>
                </c:pt>
                <c:pt idx="1">
                  <c:v>2014 m. </c:v>
                </c:pt>
                <c:pt idx="2">
                  <c:v>2015 m. </c:v>
                </c:pt>
              </c:strCache>
            </c:strRef>
          </c:cat>
          <c:val>
            <c:numRef>
              <c:f>Lapas1!$B$2:$B$5</c:f>
              <c:numCache>
                <c:formatCode>General</c:formatCode>
                <c:ptCount val="3"/>
                <c:pt idx="0">
                  <c:v>480.2</c:v>
                </c:pt>
                <c:pt idx="1">
                  <c:v>283</c:v>
                </c:pt>
                <c:pt idx="2">
                  <c:v>226.7</c:v>
                </c:pt>
              </c:numCache>
            </c:numRef>
          </c:val>
        </c:ser>
        <c:ser>
          <c:idx val="1"/>
          <c:order val="1"/>
          <c:tx>
            <c:strRef>
              <c:f>Lapas1!$C$1</c:f>
              <c:strCache>
                <c:ptCount val="1"/>
                <c:pt idx="0">
                  <c:v>Gavėjų skaičius</c:v>
                </c:pt>
              </c:strCache>
            </c:strRef>
          </c:tx>
          <c:dLbls>
            <c:spPr>
              <a:noFill/>
              <a:ln w="25385">
                <a:noFill/>
              </a:ln>
            </c:spPr>
            <c:showVal val="1"/>
          </c:dLbls>
          <c:cat>
            <c:strRef>
              <c:f>Lapas1!$A$2:$A$5</c:f>
              <c:strCache>
                <c:ptCount val="3"/>
                <c:pt idx="0">
                  <c:v>2013 m.</c:v>
                </c:pt>
                <c:pt idx="1">
                  <c:v>2014 m. </c:v>
                </c:pt>
                <c:pt idx="2">
                  <c:v>2015 m. </c:v>
                </c:pt>
              </c:strCache>
            </c:strRef>
          </c:cat>
          <c:val>
            <c:numRef>
              <c:f>Lapas1!$C$2:$C$5</c:f>
              <c:numCache>
                <c:formatCode>General</c:formatCode>
                <c:ptCount val="3"/>
                <c:pt idx="0">
                  <c:v>1272</c:v>
                </c:pt>
                <c:pt idx="1">
                  <c:v>840</c:v>
                </c:pt>
                <c:pt idx="2">
                  <c:v>621</c:v>
                </c:pt>
              </c:numCache>
            </c:numRef>
          </c:val>
        </c:ser>
        <c:ser>
          <c:idx val="2"/>
          <c:order val="2"/>
          <c:tx>
            <c:strRef>
              <c:f>Lapas1!$D$1</c:f>
              <c:strCache>
                <c:ptCount val="1"/>
                <c:pt idx="0">
                  <c:v>Stulpelis1</c:v>
                </c:pt>
              </c:strCache>
            </c:strRef>
          </c:tx>
          <c:cat>
            <c:strRef>
              <c:f>Lapas1!$A$2:$A$5</c:f>
              <c:strCache>
                <c:ptCount val="3"/>
                <c:pt idx="0">
                  <c:v>2013 m.</c:v>
                </c:pt>
                <c:pt idx="1">
                  <c:v>2014 m. </c:v>
                </c:pt>
                <c:pt idx="2">
                  <c:v>2015 m. </c:v>
                </c:pt>
              </c:strCache>
            </c:strRef>
          </c:cat>
          <c:val>
            <c:numRef>
              <c:f>Lapas1!$D$2:$D$5</c:f>
            </c:numRef>
          </c:val>
        </c:ser>
        <c:marker val="1"/>
        <c:axId val="184414976"/>
        <c:axId val="184416512"/>
      </c:lineChart>
      <c:catAx>
        <c:axId val="184414976"/>
        <c:scaling>
          <c:orientation val="minMax"/>
        </c:scaling>
        <c:axPos val="b"/>
        <c:numFmt formatCode="General" sourceLinked="1"/>
        <c:tickLblPos val="nextTo"/>
        <c:crossAx val="184416512"/>
        <c:crosses val="autoZero"/>
        <c:auto val="1"/>
        <c:lblAlgn val="ctr"/>
        <c:lblOffset val="100"/>
      </c:catAx>
      <c:valAx>
        <c:axId val="184416512"/>
        <c:scaling>
          <c:orientation val="minMax"/>
        </c:scaling>
        <c:axPos val="l"/>
        <c:majorGridlines/>
        <c:numFmt formatCode="General" sourceLinked="1"/>
        <c:tickLblPos val="nextTo"/>
        <c:crossAx val="184414976"/>
        <c:crosses val="autoZero"/>
        <c:crossBetween val="between"/>
      </c:valAx>
    </c:plotArea>
    <c:legend>
      <c:legendPos val="r"/>
      <c:layout>
        <c:manualLayout>
          <c:xMode val="edge"/>
          <c:yMode val="edge"/>
          <c:x val="0.77264957264959189"/>
          <c:y val="0.42378048780488359"/>
          <c:w val="0.21025641025641154"/>
          <c:h val="0.14634146341463444"/>
        </c:manualLayout>
      </c:layout>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lt-LT"/>
  <c:chart>
    <c:plotArea>
      <c:layout>
        <c:manualLayout>
          <c:layoutTarget val="inner"/>
          <c:xMode val="edge"/>
          <c:yMode val="edge"/>
          <c:x val="7.1542130365659776E-2"/>
          <c:y val="7.8947368421052475E-2"/>
          <c:w val="0.68680445151033465"/>
          <c:h val="0.77443609022556392"/>
        </c:manualLayout>
      </c:layout>
      <c:lineChart>
        <c:grouping val="standard"/>
        <c:ser>
          <c:idx val="0"/>
          <c:order val="0"/>
          <c:tx>
            <c:strRef>
              <c:f>Sheet1!$A$2</c:f>
              <c:strCache>
                <c:ptCount val="1"/>
                <c:pt idx="0">
                  <c:v>lėšos (tūkst.eurų)</c:v>
                </c:pt>
              </c:strCache>
            </c:strRef>
          </c:tx>
          <c:spPr>
            <a:ln w="10814">
              <a:solidFill>
                <a:srgbClr val="FF0000"/>
              </a:solidFill>
              <a:prstDash val="solid"/>
            </a:ln>
          </c:spPr>
          <c:marker>
            <c:symbol val="diamond"/>
            <c:size val="3"/>
            <c:spPr>
              <a:solidFill>
                <a:srgbClr val="FF0000"/>
              </a:solidFill>
              <a:ln>
                <a:solidFill>
                  <a:srgbClr val="FF0000"/>
                </a:solidFill>
                <a:prstDash val="solid"/>
              </a:ln>
            </c:spPr>
          </c:marker>
          <c:dLbls>
            <c:spPr>
              <a:noFill/>
              <a:ln w="21644">
                <a:noFill/>
              </a:ln>
            </c:spPr>
            <c:txPr>
              <a:bodyPr/>
              <a:lstStyle/>
              <a:p>
                <a:pPr>
                  <a:defRPr sz="682" b="1" i="0" u="none" strike="noStrike" baseline="0">
                    <a:solidFill>
                      <a:srgbClr val="000000"/>
                    </a:solidFill>
                    <a:latin typeface="Arial"/>
                    <a:ea typeface="Arial"/>
                    <a:cs typeface="Arial"/>
                  </a:defRPr>
                </a:pPr>
                <a:endParaRPr lang="lt-LT"/>
              </a:p>
            </c:txPr>
            <c:showVal val="1"/>
          </c:dLbls>
          <c:cat>
            <c:strRef>
              <c:f>Sheet1!$B$1:$E$1</c:f>
              <c:strCache>
                <c:ptCount val="3"/>
                <c:pt idx="0">
                  <c:v>2013 m.</c:v>
                </c:pt>
                <c:pt idx="1">
                  <c:v>2014 m.</c:v>
                </c:pt>
                <c:pt idx="2">
                  <c:v>2015 m.</c:v>
                </c:pt>
              </c:strCache>
            </c:strRef>
          </c:cat>
          <c:val>
            <c:numRef>
              <c:f>Sheet1!$B$2:$E$2</c:f>
              <c:numCache>
                <c:formatCode>General</c:formatCode>
                <c:ptCount val="3"/>
                <c:pt idx="0">
                  <c:v>914</c:v>
                </c:pt>
                <c:pt idx="1">
                  <c:v>979</c:v>
                </c:pt>
                <c:pt idx="2">
                  <c:v>1034.5</c:v>
                </c:pt>
              </c:numCache>
            </c:numRef>
          </c:val>
        </c:ser>
        <c:ser>
          <c:idx val="1"/>
          <c:order val="1"/>
          <c:tx>
            <c:strRef>
              <c:f>Sheet1!$A$3</c:f>
              <c:strCache>
                <c:ptCount val="1"/>
                <c:pt idx="0">
                  <c:v>gavėjai</c:v>
                </c:pt>
              </c:strCache>
            </c:strRef>
          </c:tx>
          <c:spPr>
            <a:ln w="10814">
              <a:solidFill>
                <a:srgbClr val="FFFF00"/>
              </a:solidFill>
              <a:prstDash val="solid"/>
            </a:ln>
          </c:spPr>
          <c:marker>
            <c:symbol val="square"/>
            <c:size val="3"/>
            <c:spPr>
              <a:solidFill>
                <a:srgbClr val="FFFF00"/>
              </a:solidFill>
              <a:ln>
                <a:solidFill>
                  <a:srgbClr val="FFFF00"/>
                </a:solidFill>
                <a:prstDash val="solid"/>
              </a:ln>
            </c:spPr>
          </c:marker>
          <c:dLbls>
            <c:spPr>
              <a:noFill/>
              <a:ln w="21644">
                <a:noFill/>
              </a:ln>
            </c:spPr>
            <c:txPr>
              <a:bodyPr/>
              <a:lstStyle/>
              <a:p>
                <a:pPr>
                  <a:defRPr sz="682" b="1" i="0" u="none" strike="noStrike" baseline="0">
                    <a:solidFill>
                      <a:srgbClr val="000000"/>
                    </a:solidFill>
                    <a:latin typeface="Arial"/>
                    <a:ea typeface="Arial"/>
                    <a:cs typeface="Arial"/>
                  </a:defRPr>
                </a:pPr>
                <a:endParaRPr lang="lt-LT"/>
              </a:p>
            </c:txPr>
            <c:showVal val="1"/>
          </c:dLbls>
          <c:cat>
            <c:strRef>
              <c:f>Sheet1!$B$1:$E$1</c:f>
              <c:strCache>
                <c:ptCount val="3"/>
                <c:pt idx="0">
                  <c:v>2013 m.</c:v>
                </c:pt>
                <c:pt idx="1">
                  <c:v>2014 m.</c:v>
                </c:pt>
                <c:pt idx="2">
                  <c:v>2015 m.</c:v>
                </c:pt>
              </c:strCache>
            </c:strRef>
          </c:cat>
          <c:val>
            <c:numRef>
              <c:f>Sheet1!$B$3:$E$3</c:f>
              <c:numCache>
                <c:formatCode>General</c:formatCode>
                <c:ptCount val="3"/>
                <c:pt idx="0">
                  <c:v>508</c:v>
                </c:pt>
                <c:pt idx="1">
                  <c:v>490</c:v>
                </c:pt>
                <c:pt idx="2">
                  <c:v>498</c:v>
                </c:pt>
              </c:numCache>
            </c:numRef>
          </c:val>
        </c:ser>
        <c:marker val="1"/>
        <c:axId val="184258944"/>
        <c:axId val="184260480"/>
      </c:lineChart>
      <c:catAx>
        <c:axId val="184258944"/>
        <c:scaling>
          <c:orientation val="minMax"/>
        </c:scaling>
        <c:axPos val="b"/>
        <c:numFmt formatCode="General" sourceLinked="1"/>
        <c:tickLblPos val="nextTo"/>
        <c:spPr>
          <a:ln w="2704">
            <a:solidFill>
              <a:srgbClr val="000000"/>
            </a:solidFill>
            <a:prstDash val="solid"/>
          </a:ln>
        </c:spPr>
        <c:txPr>
          <a:bodyPr rot="0" vert="horz"/>
          <a:lstStyle/>
          <a:p>
            <a:pPr>
              <a:defRPr sz="767" b="1" i="0" u="none" strike="noStrike" baseline="0">
                <a:solidFill>
                  <a:srgbClr val="000000"/>
                </a:solidFill>
                <a:latin typeface="Arial"/>
                <a:ea typeface="Arial"/>
                <a:cs typeface="Arial"/>
              </a:defRPr>
            </a:pPr>
            <a:endParaRPr lang="lt-LT"/>
          </a:p>
        </c:txPr>
        <c:crossAx val="184260480"/>
        <c:crosses val="autoZero"/>
        <c:auto val="1"/>
        <c:lblAlgn val="ctr"/>
        <c:lblOffset val="100"/>
        <c:tickLblSkip val="1"/>
        <c:tickMarkSkip val="1"/>
      </c:catAx>
      <c:valAx>
        <c:axId val="184260480"/>
        <c:scaling>
          <c:orientation val="minMax"/>
        </c:scaling>
        <c:axPos val="l"/>
        <c:majorGridlines>
          <c:spPr>
            <a:ln w="2704">
              <a:solidFill>
                <a:srgbClr val="000000"/>
              </a:solidFill>
              <a:prstDash val="solid"/>
            </a:ln>
          </c:spPr>
        </c:majorGridlines>
        <c:numFmt formatCode="General" sourceLinked="1"/>
        <c:tickLblPos val="nextTo"/>
        <c:spPr>
          <a:ln w="2704">
            <a:solidFill>
              <a:srgbClr val="000000"/>
            </a:solidFill>
            <a:prstDash val="solid"/>
          </a:ln>
        </c:spPr>
        <c:txPr>
          <a:bodyPr rot="0" vert="horz"/>
          <a:lstStyle/>
          <a:p>
            <a:pPr>
              <a:defRPr sz="682" b="0" i="0" u="none" strike="noStrike" baseline="0">
                <a:solidFill>
                  <a:srgbClr val="000000"/>
                </a:solidFill>
                <a:latin typeface="Times New Roman"/>
                <a:ea typeface="Times New Roman"/>
                <a:cs typeface="Times New Roman"/>
              </a:defRPr>
            </a:pPr>
            <a:endParaRPr lang="lt-LT"/>
          </a:p>
        </c:txPr>
        <c:crossAx val="184258944"/>
        <c:crosses val="autoZero"/>
        <c:crossBetween val="between"/>
      </c:valAx>
      <c:spPr>
        <a:solidFill>
          <a:srgbClr val="C0C0C0"/>
        </a:solidFill>
        <a:ln w="10814">
          <a:solidFill>
            <a:srgbClr val="808080"/>
          </a:solidFill>
          <a:prstDash val="solid"/>
        </a:ln>
      </c:spPr>
    </c:plotArea>
    <c:legend>
      <c:legendPos val="r"/>
      <c:layout>
        <c:manualLayout>
          <c:xMode val="edge"/>
          <c:yMode val="edge"/>
          <c:x val="0.77265500794913822"/>
          <c:y val="0.38113207547169831"/>
          <c:w val="0.22098569157392794"/>
          <c:h val="0.16981132075471697"/>
        </c:manualLayout>
      </c:layout>
      <c:spPr>
        <a:noFill/>
        <a:ln w="2704">
          <a:solidFill>
            <a:srgbClr val="000000"/>
          </a:solidFill>
          <a:prstDash val="solid"/>
        </a:ln>
      </c:spPr>
      <c:txPr>
        <a:bodyPr/>
        <a:lstStyle/>
        <a:p>
          <a:pPr>
            <a:defRPr sz="800"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980" b="1" i="0" u="none" strike="noStrike" baseline="0">
          <a:solidFill>
            <a:srgbClr val="000000"/>
          </a:solidFill>
          <a:latin typeface="Arial"/>
          <a:ea typeface="Arial"/>
          <a:cs typeface="Arial"/>
        </a:defRPr>
      </a:pPr>
      <a:endParaRPr lang="lt-LT"/>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lt-LT"/>
  <c:chart>
    <c:plotArea>
      <c:layout/>
      <c:barChart>
        <c:barDir val="bar"/>
        <c:grouping val="clustered"/>
        <c:ser>
          <c:idx val="0"/>
          <c:order val="0"/>
          <c:tx>
            <c:strRef>
              <c:f>Lapas1!$B$1</c:f>
              <c:strCache>
                <c:ptCount val="1"/>
                <c:pt idx="0">
                  <c:v>Gavėjai</c:v>
                </c:pt>
              </c:strCache>
            </c:strRef>
          </c:tx>
          <c:dLbls>
            <c:showVal val="1"/>
          </c:dLbls>
          <c:cat>
            <c:strRef>
              <c:f>Lapas1!$A$2:$A$4</c:f>
              <c:strCache>
                <c:ptCount val="3"/>
                <c:pt idx="0">
                  <c:v>2013 m.</c:v>
                </c:pt>
                <c:pt idx="1">
                  <c:v>2014 m.</c:v>
                </c:pt>
                <c:pt idx="2">
                  <c:v>2015 m. </c:v>
                </c:pt>
              </c:strCache>
            </c:strRef>
          </c:cat>
          <c:val>
            <c:numRef>
              <c:f>Lapas1!$B$2:$B$4</c:f>
              <c:numCache>
                <c:formatCode>General</c:formatCode>
                <c:ptCount val="3"/>
                <c:pt idx="0">
                  <c:v>886</c:v>
                </c:pt>
                <c:pt idx="1">
                  <c:v>770</c:v>
                </c:pt>
                <c:pt idx="2">
                  <c:v>669</c:v>
                </c:pt>
              </c:numCache>
            </c:numRef>
          </c:val>
        </c:ser>
        <c:ser>
          <c:idx val="1"/>
          <c:order val="1"/>
          <c:tx>
            <c:strRef>
              <c:f>Lapas1!$C$1</c:f>
              <c:strCache>
                <c:ptCount val="1"/>
                <c:pt idx="0">
                  <c:v>Lėšos tūkst. eurų</c:v>
                </c:pt>
              </c:strCache>
            </c:strRef>
          </c:tx>
          <c:dLbls>
            <c:showVal val="1"/>
          </c:dLbls>
          <c:cat>
            <c:strRef>
              <c:f>Lapas1!$A$2:$A$4</c:f>
              <c:strCache>
                <c:ptCount val="3"/>
                <c:pt idx="0">
                  <c:v>2013 m.</c:v>
                </c:pt>
                <c:pt idx="1">
                  <c:v>2014 m.</c:v>
                </c:pt>
                <c:pt idx="2">
                  <c:v>2015 m. </c:v>
                </c:pt>
              </c:strCache>
            </c:strRef>
          </c:cat>
          <c:val>
            <c:numRef>
              <c:f>Lapas1!$C$2:$C$4</c:f>
              <c:numCache>
                <c:formatCode>General</c:formatCode>
                <c:ptCount val="3"/>
                <c:pt idx="0">
                  <c:v>225.1</c:v>
                </c:pt>
                <c:pt idx="1">
                  <c:v>198.1</c:v>
                </c:pt>
                <c:pt idx="2">
                  <c:v>167.1</c:v>
                </c:pt>
              </c:numCache>
            </c:numRef>
          </c:val>
        </c:ser>
        <c:axId val="171165184"/>
        <c:axId val="171166720"/>
      </c:barChart>
      <c:catAx>
        <c:axId val="171165184"/>
        <c:scaling>
          <c:orientation val="minMax"/>
        </c:scaling>
        <c:axPos val="l"/>
        <c:tickLblPos val="nextTo"/>
        <c:crossAx val="171166720"/>
        <c:crosses val="autoZero"/>
        <c:auto val="1"/>
        <c:lblAlgn val="ctr"/>
        <c:lblOffset val="100"/>
      </c:catAx>
      <c:valAx>
        <c:axId val="171166720"/>
        <c:scaling>
          <c:orientation val="minMax"/>
        </c:scaling>
        <c:axPos val="b"/>
        <c:majorGridlines/>
        <c:numFmt formatCode="General" sourceLinked="1"/>
        <c:tickLblPos val="nextTo"/>
        <c:crossAx val="171165184"/>
        <c:crosses val="autoZero"/>
        <c:crossBetween val="between"/>
      </c:valAx>
    </c:plotArea>
    <c:legend>
      <c:legendPos val="r"/>
    </c:legend>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lt-LT"/>
  <c:chart>
    <c:plotArea>
      <c:layout/>
      <c:barChart>
        <c:barDir val="bar"/>
        <c:grouping val="clustered"/>
        <c:ser>
          <c:idx val="0"/>
          <c:order val="0"/>
          <c:tx>
            <c:strRef>
              <c:f>Lapas1!$B$1</c:f>
              <c:strCache>
                <c:ptCount val="1"/>
                <c:pt idx="0">
                  <c:v>Asmenų skaičius</c:v>
                </c:pt>
              </c:strCache>
            </c:strRef>
          </c:tx>
          <c:dLbls>
            <c:showVal val="1"/>
          </c:dLbls>
          <c:cat>
            <c:strRef>
              <c:f>Lapas1!$A$2:$A$4</c:f>
              <c:strCache>
                <c:ptCount val="3"/>
                <c:pt idx="0">
                  <c:v>2013 m. </c:v>
                </c:pt>
                <c:pt idx="1">
                  <c:v>2014 m. </c:v>
                </c:pt>
                <c:pt idx="2">
                  <c:v>2015 m. </c:v>
                </c:pt>
              </c:strCache>
            </c:strRef>
          </c:cat>
          <c:val>
            <c:numRef>
              <c:f>Lapas1!$B$2:$B$4</c:f>
              <c:numCache>
                <c:formatCode>General</c:formatCode>
                <c:ptCount val="3"/>
                <c:pt idx="0">
                  <c:v>2242</c:v>
                </c:pt>
                <c:pt idx="1">
                  <c:v>1295</c:v>
                </c:pt>
                <c:pt idx="2">
                  <c:v>1178</c:v>
                </c:pt>
              </c:numCache>
            </c:numRef>
          </c:val>
        </c:ser>
        <c:ser>
          <c:idx val="1"/>
          <c:order val="1"/>
          <c:tx>
            <c:strRef>
              <c:f>Lapas1!$C$1</c:f>
              <c:strCache>
                <c:ptCount val="1"/>
                <c:pt idx="0">
                  <c:v>Lėšos tūkst. eurų</c:v>
                </c:pt>
              </c:strCache>
            </c:strRef>
          </c:tx>
          <c:dLbls>
            <c:showVal val="1"/>
          </c:dLbls>
          <c:cat>
            <c:strRef>
              <c:f>Lapas1!$A$2:$A$4</c:f>
              <c:strCache>
                <c:ptCount val="3"/>
                <c:pt idx="0">
                  <c:v>2013 m. </c:v>
                </c:pt>
                <c:pt idx="1">
                  <c:v>2014 m. </c:v>
                </c:pt>
                <c:pt idx="2">
                  <c:v>2015 m. </c:v>
                </c:pt>
              </c:strCache>
            </c:strRef>
          </c:cat>
          <c:val>
            <c:numRef>
              <c:f>Lapas1!$C$2:$C$4</c:f>
              <c:numCache>
                <c:formatCode>General</c:formatCode>
                <c:ptCount val="3"/>
                <c:pt idx="0">
                  <c:v>631.1</c:v>
                </c:pt>
                <c:pt idx="1">
                  <c:v>363.2</c:v>
                </c:pt>
                <c:pt idx="2">
                  <c:v>282.7</c:v>
                </c:pt>
              </c:numCache>
            </c:numRef>
          </c:val>
        </c:ser>
        <c:axId val="184406016"/>
        <c:axId val="184407552"/>
      </c:barChart>
      <c:catAx>
        <c:axId val="184406016"/>
        <c:scaling>
          <c:orientation val="minMax"/>
        </c:scaling>
        <c:axPos val="l"/>
        <c:tickLblPos val="nextTo"/>
        <c:crossAx val="184407552"/>
        <c:crosses val="autoZero"/>
        <c:auto val="1"/>
        <c:lblAlgn val="ctr"/>
        <c:lblOffset val="100"/>
      </c:catAx>
      <c:valAx>
        <c:axId val="184407552"/>
        <c:scaling>
          <c:orientation val="minMax"/>
        </c:scaling>
        <c:axPos val="b"/>
        <c:majorGridlines/>
        <c:numFmt formatCode="General" sourceLinked="1"/>
        <c:tickLblPos val="nextTo"/>
        <c:crossAx val="184406016"/>
        <c:crosses val="autoZero"/>
        <c:crossBetween val="between"/>
      </c:valAx>
    </c:plotArea>
    <c:legend>
      <c:legendPos val="r"/>
    </c:legend>
    <c:plotVisOnly val="1"/>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lt-LT"/>
  <c:chart>
    <c:plotArea>
      <c:layout>
        <c:manualLayout>
          <c:layoutTarget val="inner"/>
          <c:xMode val="edge"/>
          <c:yMode val="edge"/>
          <c:x val="6.6465256797583083E-2"/>
          <c:y val="8.6466165413533844E-2"/>
          <c:w val="0.60271903323262865"/>
          <c:h val="0.75939849624061195"/>
        </c:manualLayout>
      </c:layout>
      <c:barChart>
        <c:barDir val="col"/>
        <c:grouping val="clustered"/>
        <c:ser>
          <c:idx val="0"/>
          <c:order val="0"/>
          <c:tx>
            <c:strRef>
              <c:f>Sheet1!$A$2</c:f>
              <c:strCache>
                <c:ptCount val="1"/>
                <c:pt idx="0">
                  <c:v>lėšos (tūkst. eurų)</c:v>
                </c:pt>
              </c:strCache>
            </c:strRef>
          </c:tx>
          <c:spPr>
            <a:solidFill>
              <a:srgbClr val="BBE0E3"/>
            </a:solidFill>
            <a:ln w="10756">
              <a:solidFill>
                <a:srgbClr val="000000"/>
              </a:solidFill>
              <a:prstDash val="solid"/>
            </a:ln>
          </c:spPr>
          <c:dLbls>
            <c:spPr>
              <a:noFill/>
              <a:ln w="21589">
                <a:noFill/>
              </a:ln>
            </c:spPr>
            <c:txPr>
              <a:bodyPr/>
              <a:lstStyle/>
              <a:p>
                <a:pPr>
                  <a:defRPr sz="676" b="1" i="0" u="none" strike="noStrike" baseline="-25000">
                    <a:solidFill>
                      <a:srgbClr val="000000"/>
                    </a:solidFill>
                    <a:latin typeface="Times New Roman"/>
                    <a:ea typeface="Times New Roman"/>
                    <a:cs typeface="Times New Roman"/>
                  </a:defRPr>
                </a:pPr>
                <a:endParaRPr lang="lt-LT"/>
              </a:p>
            </c:txPr>
            <c:showVal val="1"/>
          </c:dLbls>
          <c:cat>
            <c:strRef>
              <c:f>Sheet1!$B$1:$D$1</c:f>
              <c:strCache>
                <c:ptCount val="3"/>
                <c:pt idx="0">
                  <c:v>2013 m.</c:v>
                </c:pt>
                <c:pt idx="1">
                  <c:v>2014 m.</c:v>
                </c:pt>
                <c:pt idx="2">
                  <c:v>2015 m.</c:v>
                </c:pt>
              </c:strCache>
            </c:strRef>
          </c:cat>
          <c:val>
            <c:numRef>
              <c:f>Sheet1!$B$2:$D$2</c:f>
              <c:numCache>
                <c:formatCode>General</c:formatCode>
                <c:ptCount val="3"/>
                <c:pt idx="0">
                  <c:v>132.6</c:v>
                </c:pt>
                <c:pt idx="1">
                  <c:v>122.6</c:v>
                </c:pt>
                <c:pt idx="2">
                  <c:v>113.9</c:v>
                </c:pt>
              </c:numCache>
            </c:numRef>
          </c:val>
        </c:ser>
        <c:ser>
          <c:idx val="1"/>
          <c:order val="1"/>
          <c:tx>
            <c:strRef>
              <c:f>Sheet1!$A$3</c:f>
              <c:strCache>
                <c:ptCount val="1"/>
                <c:pt idx="0">
                  <c:v>mokinio reikmenų gavėjai </c:v>
                </c:pt>
              </c:strCache>
            </c:strRef>
          </c:tx>
          <c:spPr>
            <a:solidFill>
              <a:srgbClr val="333399"/>
            </a:solidFill>
            <a:ln w="10756">
              <a:solidFill>
                <a:srgbClr val="000000"/>
              </a:solidFill>
              <a:prstDash val="solid"/>
            </a:ln>
          </c:spPr>
          <c:dLbls>
            <c:spPr>
              <a:noFill/>
              <a:ln w="21589">
                <a:noFill/>
              </a:ln>
            </c:spPr>
            <c:txPr>
              <a:bodyPr/>
              <a:lstStyle/>
              <a:p>
                <a:pPr>
                  <a:defRPr sz="489" b="1" i="0" u="none" strike="noStrike" baseline="0">
                    <a:solidFill>
                      <a:srgbClr val="000000"/>
                    </a:solidFill>
                    <a:latin typeface="Times New Roman"/>
                    <a:ea typeface="Times New Roman"/>
                    <a:cs typeface="Times New Roman"/>
                  </a:defRPr>
                </a:pPr>
                <a:endParaRPr lang="lt-LT"/>
              </a:p>
            </c:txPr>
            <c:showVal val="1"/>
          </c:dLbls>
          <c:cat>
            <c:strRef>
              <c:f>Sheet1!$B$1:$D$1</c:f>
              <c:strCache>
                <c:ptCount val="3"/>
                <c:pt idx="0">
                  <c:v>2013 m.</c:v>
                </c:pt>
                <c:pt idx="1">
                  <c:v>2014 m.</c:v>
                </c:pt>
                <c:pt idx="2">
                  <c:v>2015 m.</c:v>
                </c:pt>
              </c:strCache>
            </c:strRef>
          </c:cat>
          <c:val>
            <c:numRef>
              <c:f>Sheet1!$B$3:$D$3</c:f>
              <c:numCache>
                <c:formatCode>General</c:formatCode>
                <c:ptCount val="3"/>
                <c:pt idx="0">
                  <c:v>552</c:v>
                </c:pt>
                <c:pt idx="1">
                  <c:v>434</c:v>
                </c:pt>
                <c:pt idx="2">
                  <c:v>392</c:v>
                </c:pt>
              </c:numCache>
            </c:numRef>
          </c:val>
        </c:ser>
        <c:ser>
          <c:idx val="2"/>
          <c:order val="2"/>
          <c:tx>
            <c:strRef>
              <c:f>Sheet1!$A$4</c:f>
              <c:strCache>
                <c:ptCount val="1"/>
                <c:pt idx="0">
                  <c:v>nemokamo maitinimo gavėjai</c:v>
                </c:pt>
              </c:strCache>
            </c:strRef>
          </c:tx>
          <c:spPr>
            <a:solidFill>
              <a:srgbClr val="009999"/>
            </a:solidFill>
            <a:ln w="10756">
              <a:solidFill>
                <a:srgbClr val="000000"/>
              </a:solidFill>
              <a:prstDash val="solid"/>
            </a:ln>
          </c:spPr>
          <c:dLbls>
            <c:spPr>
              <a:noFill/>
              <a:ln w="21589">
                <a:noFill/>
              </a:ln>
            </c:spPr>
            <c:txPr>
              <a:bodyPr/>
              <a:lstStyle/>
              <a:p>
                <a:pPr>
                  <a:defRPr sz="676" b="1" i="0" u="none" strike="noStrike" baseline="0">
                    <a:solidFill>
                      <a:srgbClr val="000000"/>
                    </a:solidFill>
                    <a:latin typeface="Times New Roman"/>
                    <a:ea typeface="Times New Roman"/>
                    <a:cs typeface="Times New Roman"/>
                  </a:defRPr>
                </a:pPr>
                <a:endParaRPr lang="lt-LT"/>
              </a:p>
            </c:txPr>
            <c:showVal val="1"/>
          </c:dLbls>
          <c:cat>
            <c:strRef>
              <c:f>Sheet1!$B$1:$D$1</c:f>
              <c:strCache>
                <c:ptCount val="3"/>
                <c:pt idx="0">
                  <c:v>2013 m.</c:v>
                </c:pt>
                <c:pt idx="1">
                  <c:v>2014 m.</c:v>
                </c:pt>
                <c:pt idx="2">
                  <c:v>2015 m.</c:v>
                </c:pt>
              </c:strCache>
            </c:strRef>
          </c:cat>
          <c:val>
            <c:numRef>
              <c:f>Sheet1!$B$4:$D$4</c:f>
              <c:numCache>
                <c:formatCode>General</c:formatCode>
                <c:ptCount val="3"/>
                <c:pt idx="0">
                  <c:v>721</c:v>
                </c:pt>
                <c:pt idx="1">
                  <c:v>618</c:v>
                </c:pt>
                <c:pt idx="2">
                  <c:v>516</c:v>
                </c:pt>
              </c:numCache>
            </c:numRef>
          </c:val>
        </c:ser>
        <c:axId val="184922880"/>
        <c:axId val="184924416"/>
      </c:barChart>
      <c:catAx>
        <c:axId val="184922880"/>
        <c:scaling>
          <c:orientation val="minMax"/>
        </c:scaling>
        <c:axPos val="b"/>
        <c:numFmt formatCode="General" sourceLinked="1"/>
        <c:tickLblPos val="nextTo"/>
        <c:spPr>
          <a:ln w="2689">
            <a:solidFill>
              <a:srgbClr val="000000"/>
            </a:solidFill>
            <a:prstDash val="solid"/>
          </a:ln>
        </c:spPr>
        <c:txPr>
          <a:bodyPr rot="0" vert="horz"/>
          <a:lstStyle/>
          <a:p>
            <a:pPr>
              <a:defRPr sz="867" b="1" i="0" u="none" strike="noStrike" baseline="0">
                <a:solidFill>
                  <a:srgbClr val="000000"/>
                </a:solidFill>
                <a:latin typeface="Times New Roman"/>
                <a:ea typeface="Times New Roman"/>
                <a:cs typeface="Times New Roman"/>
              </a:defRPr>
            </a:pPr>
            <a:endParaRPr lang="lt-LT"/>
          </a:p>
        </c:txPr>
        <c:crossAx val="184924416"/>
        <c:crosses val="autoZero"/>
        <c:auto val="1"/>
        <c:lblAlgn val="ctr"/>
        <c:lblOffset val="100"/>
        <c:tickLblSkip val="1"/>
        <c:tickMarkSkip val="1"/>
      </c:catAx>
      <c:valAx>
        <c:axId val="184924416"/>
        <c:scaling>
          <c:orientation val="minMax"/>
        </c:scaling>
        <c:axPos val="l"/>
        <c:majorGridlines>
          <c:spPr>
            <a:ln w="2689">
              <a:solidFill>
                <a:srgbClr val="000000"/>
              </a:solidFill>
              <a:prstDash val="solid"/>
            </a:ln>
          </c:spPr>
        </c:majorGridlines>
        <c:numFmt formatCode="General" sourceLinked="1"/>
        <c:tickLblPos val="nextTo"/>
        <c:spPr>
          <a:ln w="2689">
            <a:solidFill>
              <a:srgbClr val="000000"/>
            </a:solidFill>
            <a:prstDash val="solid"/>
          </a:ln>
        </c:spPr>
        <c:txPr>
          <a:bodyPr rot="0" vert="horz"/>
          <a:lstStyle/>
          <a:p>
            <a:pPr>
              <a:defRPr sz="867" b="1" i="0" u="none" strike="noStrike" baseline="0">
                <a:solidFill>
                  <a:srgbClr val="000000"/>
                </a:solidFill>
                <a:latin typeface="Times New Roman"/>
                <a:ea typeface="Times New Roman"/>
                <a:cs typeface="Times New Roman"/>
              </a:defRPr>
            </a:pPr>
            <a:endParaRPr lang="lt-LT"/>
          </a:p>
        </c:txPr>
        <c:crossAx val="184922880"/>
        <c:crosses val="autoZero"/>
        <c:crossBetween val="between"/>
      </c:valAx>
      <c:spPr>
        <a:solidFill>
          <a:srgbClr val="C0C0C0"/>
        </a:solidFill>
        <a:ln w="10756">
          <a:solidFill>
            <a:srgbClr val="808080"/>
          </a:solidFill>
          <a:prstDash val="solid"/>
        </a:ln>
      </c:spPr>
    </c:plotArea>
    <c:legend>
      <c:legendPos val="r"/>
      <c:layout>
        <c:manualLayout>
          <c:xMode val="edge"/>
          <c:yMode val="edge"/>
          <c:x val="0.68975468975468979"/>
          <c:y val="0.33207547169811696"/>
          <c:w val="0.29581529581530014"/>
          <c:h val="0.24905660377358488"/>
        </c:manualLayout>
      </c:layout>
      <c:spPr>
        <a:noFill/>
        <a:ln w="2689">
          <a:solidFill>
            <a:srgbClr val="000000"/>
          </a:solidFill>
          <a:prstDash val="solid"/>
        </a:ln>
      </c:spPr>
      <c:txPr>
        <a:bodyPr/>
        <a:lstStyle/>
        <a:p>
          <a:pPr>
            <a:defRPr sz="796"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867" b="1" i="0" u="none" strike="noStrike" baseline="0">
          <a:solidFill>
            <a:srgbClr val="000000"/>
          </a:solidFill>
          <a:latin typeface="Times New Roman"/>
          <a:ea typeface="Times New Roman"/>
          <a:cs typeface="Times New Roman"/>
        </a:defRPr>
      </a:pPr>
      <a:endParaRPr lang="lt-LT"/>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lt-LT"/>
  <c:chart>
    <c:view3D>
      <c:hPercent val="60"/>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5.6923076923076923E-2"/>
          <c:y val="4.8872180451127824E-2"/>
          <c:w val="0.58923076923075668"/>
          <c:h val="0.81954887218045991"/>
        </c:manualLayout>
      </c:layout>
      <c:bar3DChart>
        <c:barDir val="col"/>
        <c:grouping val="clustered"/>
        <c:ser>
          <c:idx val="0"/>
          <c:order val="0"/>
          <c:tx>
            <c:strRef>
              <c:f>Sheet1!$A$2</c:f>
              <c:strCache>
                <c:ptCount val="1"/>
                <c:pt idx="0">
                  <c:v>Rietavo PSPC globos skyrius</c:v>
                </c:pt>
              </c:strCache>
            </c:strRef>
          </c:tx>
          <c:spPr>
            <a:solidFill>
              <a:srgbClr val="BBE0E3"/>
            </a:solidFill>
            <a:ln w="10986">
              <a:solidFill>
                <a:srgbClr val="000000"/>
              </a:solidFill>
              <a:prstDash val="solid"/>
            </a:ln>
          </c:spPr>
          <c:dLbls>
            <c:spPr>
              <a:noFill/>
              <a:ln w="21988">
                <a:noFill/>
              </a:ln>
            </c:spPr>
            <c:txPr>
              <a:bodyPr/>
              <a:lstStyle/>
              <a:p>
                <a:pPr>
                  <a:defRPr sz="996"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c:v>
                </c:pt>
                <c:pt idx="2">
                  <c:v>2015 m.</c:v>
                </c:pt>
              </c:strCache>
            </c:strRef>
          </c:cat>
          <c:val>
            <c:numRef>
              <c:f>Sheet1!$B$2:$D$2</c:f>
              <c:numCache>
                <c:formatCode>General</c:formatCode>
                <c:ptCount val="3"/>
                <c:pt idx="0">
                  <c:v>22.2</c:v>
                </c:pt>
                <c:pt idx="1">
                  <c:v>20.399999999999999</c:v>
                </c:pt>
                <c:pt idx="2">
                  <c:v>12.2</c:v>
                </c:pt>
              </c:numCache>
            </c:numRef>
          </c:val>
        </c:ser>
        <c:ser>
          <c:idx val="2"/>
          <c:order val="1"/>
          <c:tx>
            <c:strRef>
              <c:f>Sheet1!$A$4</c:f>
              <c:strCache>
                <c:ptCount val="1"/>
                <c:pt idx="0">
                  <c:v>Rietavo senelių namai</c:v>
                </c:pt>
              </c:strCache>
            </c:strRef>
          </c:tx>
          <c:spPr>
            <a:solidFill>
              <a:srgbClr val="FFFFFF"/>
            </a:solidFill>
            <a:ln w="10986">
              <a:solidFill>
                <a:srgbClr val="000000"/>
              </a:solidFill>
              <a:prstDash val="solid"/>
            </a:ln>
          </c:spPr>
          <c:dLbls>
            <c:spPr>
              <a:noFill/>
              <a:ln w="21988">
                <a:noFill/>
              </a:ln>
            </c:spPr>
            <c:txPr>
              <a:bodyPr/>
              <a:lstStyle/>
              <a:p>
                <a:pPr>
                  <a:defRPr sz="996"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c:v>
                </c:pt>
                <c:pt idx="2">
                  <c:v>2015 m.</c:v>
                </c:pt>
              </c:strCache>
            </c:strRef>
          </c:cat>
          <c:val>
            <c:numRef>
              <c:f>Sheet1!$B$4:$D$4</c:f>
              <c:numCache>
                <c:formatCode>General</c:formatCode>
                <c:ptCount val="3"/>
                <c:pt idx="0">
                  <c:v>40.300000000000004</c:v>
                </c:pt>
                <c:pt idx="1">
                  <c:v>35.4</c:v>
                </c:pt>
                <c:pt idx="2" formatCode="0.0">
                  <c:v>34</c:v>
                </c:pt>
              </c:numCache>
            </c:numRef>
          </c:val>
        </c:ser>
        <c:ser>
          <c:idx val="3"/>
          <c:order val="2"/>
          <c:tx>
            <c:strRef>
              <c:f>Sheet1!$A$5</c:f>
              <c:strCache>
                <c:ptCount val="1"/>
                <c:pt idx="0">
                  <c:v>Plungės vaikų globos namai</c:v>
                </c:pt>
              </c:strCache>
            </c:strRef>
          </c:tx>
          <c:spPr>
            <a:solidFill>
              <a:srgbClr val="99CC00"/>
            </a:solidFill>
            <a:ln w="10986">
              <a:solidFill>
                <a:srgbClr val="000000"/>
              </a:solidFill>
              <a:prstDash val="solid"/>
            </a:ln>
          </c:spPr>
          <c:dLbls>
            <c:spPr>
              <a:noFill/>
              <a:ln w="21988">
                <a:noFill/>
              </a:ln>
            </c:spPr>
            <c:txPr>
              <a:bodyPr/>
              <a:lstStyle/>
              <a:p>
                <a:pPr>
                  <a:defRPr sz="996"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c:v>
                </c:pt>
                <c:pt idx="2">
                  <c:v>2015 m.</c:v>
                </c:pt>
              </c:strCache>
            </c:strRef>
          </c:cat>
          <c:val>
            <c:numRef>
              <c:f>Sheet1!$B$5:$D$5</c:f>
              <c:numCache>
                <c:formatCode>General</c:formatCode>
                <c:ptCount val="3"/>
                <c:pt idx="0">
                  <c:v>15.3</c:v>
                </c:pt>
                <c:pt idx="1">
                  <c:v>13.9</c:v>
                </c:pt>
                <c:pt idx="2">
                  <c:v>12.5</c:v>
                </c:pt>
              </c:numCache>
            </c:numRef>
          </c:val>
        </c:ser>
        <c:gapDepth val="0"/>
        <c:shape val="box"/>
        <c:axId val="185250560"/>
        <c:axId val="185252096"/>
        <c:axId val="0"/>
      </c:bar3DChart>
      <c:catAx>
        <c:axId val="185250560"/>
        <c:scaling>
          <c:orientation val="minMax"/>
        </c:scaling>
        <c:axPos val="b"/>
        <c:numFmt formatCode="General" sourceLinked="1"/>
        <c:tickLblPos val="low"/>
        <c:spPr>
          <a:ln w="2747">
            <a:solidFill>
              <a:srgbClr val="000000"/>
            </a:solidFill>
            <a:prstDash val="solid"/>
          </a:ln>
        </c:spPr>
        <c:txPr>
          <a:bodyPr rot="0" vert="horz"/>
          <a:lstStyle/>
          <a:p>
            <a:pPr>
              <a:defRPr sz="779" b="1" i="0" u="none" strike="noStrike" baseline="0">
                <a:solidFill>
                  <a:srgbClr val="000000"/>
                </a:solidFill>
                <a:latin typeface="Arial"/>
                <a:ea typeface="Arial"/>
                <a:cs typeface="Arial"/>
              </a:defRPr>
            </a:pPr>
            <a:endParaRPr lang="lt-LT"/>
          </a:p>
        </c:txPr>
        <c:crossAx val="185252096"/>
        <c:crosses val="autoZero"/>
        <c:auto val="1"/>
        <c:lblAlgn val="ctr"/>
        <c:lblOffset val="100"/>
        <c:tickLblSkip val="1"/>
        <c:tickMarkSkip val="1"/>
      </c:catAx>
      <c:valAx>
        <c:axId val="185252096"/>
        <c:scaling>
          <c:orientation val="minMax"/>
        </c:scaling>
        <c:axPos val="l"/>
        <c:majorGridlines>
          <c:spPr>
            <a:ln w="2747">
              <a:solidFill>
                <a:srgbClr val="000000"/>
              </a:solidFill>
              <a:prstDash val="solid"/>
            </a:ln>
          </c:spPr>
        </c:majorGridlines>
        <c:numFmt formatCode="General" sourceLinked="1"/>
        <c:tickLblPos val="nextTo"/>
        <c:spPr>
          <a:ln w="2747">
            <a:solidFill>
              <a:srgbClr val="000000"/>
            </a:solidFill>
            <a:prstDash val="solid"/>
          </a:ln>
        </c:spPr>
        <c:txPr>
          <a:bodyPr rot="0" vert="horz"/>
          <a:lstStyle/>
          <a:p>
            <a:pPr>
              <a:defRPr sz="779" b="1" i="0" u="none" strike="noStrike" baseline="0">
                <a:solidFill>
                  <a:srgbClr val="000000"/>
                </a:solidFill>
                <a:latin typeface="Arial"/>
                <a:ea typeface="Arial"/>
                <a:cs typeface="Arial"/>
              </a:defRPr>
            </a:pPr>
            <a:endParaRPr lang="lt-LT"/>
          </a:p>
        </c:txPr>
        <c:crossAx val="185250560"/>
        <c:crosses val="autoZero"/>
        <c:crossBetween val="between"/>
      </c:valAx>
      <c:spPr>
        <a:noFill/>
        <a:ln w="21988">
          <a:noFill/>
        </a:ln>
      </c:spPr>
    </c:plotArea>
    <c:legend>
      <c:legendPos val="r"/>
      <c:layout>
        <c:manualLayout>
          <c:xMode val="edge"/>
          <c:yMode val="edge"/>
          <c:x val="0.65495207667732391"/>
          <c:y val="0.27307692307692338"/>
          <c:w val="0.34345047923323058"/>
          <c:h val="0.45384615384615384"/>
        </c:manualLayout>
      </c:layout>
      <c:spPr>
        <a:noFill/>
        <a:ln w="2747">
          <a:solidFill>
            <a:srgbClr val="000000"/>
          </a:solidFill>
          <a:prstDash val="solid"/>
        </a:ln>
      </c:spPr>
      <c:txPr>
        <a:bodyPr/>
        <a:lstStyle/>
        <a:p>
          <a:pPr>
            <a:defRPr sz="813" b="1" i="0" u="none" strike="noStrike" baseline="0">
              <a:solidFill>
                <a:srgbClr val="000000"/>
              </a:solidFill>
              <a:latin typeface="Arial"/>
              <a:ea typeface="Arial"/>
              <a:cs typeface="Arial"/>
            </a:defRPr>
          </a:pPr>
          <a:endParaRPr lang="lt-LT"/>
        </a:p>
      </c:txPr>
    </c:legend>
    <c:plotVisOnly val="1"/>
    <c:dispBlanksAs val="gap"/>
  </c:chart>
  <c:spPr>
    <a:noFill/>
    <a:ln>
      <a:noFill/>
    </a:ln>
  </c:spPr>
  <c:txPr>
    <a:bodyPr/>
    <a:lstStyle/>
    <a:p>
      <a:pPr>
        <a:defRPr sz="996" b="1" i="0" u="none" strike="noStrike" baseline="0">
          <a:solidFill>
            <a:srgbClr val="000000"/>
          </a:solidFill>
          <a:latin typeface="Arial"/>
          <a:ea typeface="Arial"/>
          <a:cs typeface="Arial"/>
        </a:defRPr>
      </a:pPr>
      <a:endParaRPr lang="lt-LT"/>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lt-LT"/>
  <c:chart>
    <c:plotArea>
      <c:layout>
        <c:manualLayout>
          <c:layoutTarget val="inner"/>
          <c:xMode val="edge"/>
          <c:yMode val="edge"/>
          <c:x val="0.10469314079422527"/>
          <c:y val="9.2250922509225244E-2"/>
          <c:w val="0.71119133574007265"/>
          <c:h val="0.80811808118081152"/>
        </c:manualLayout>
      </c:layout>
      <c:barChart>
        <c:barDir val="col"/>
        <c:grouping val="clustered"/>
        <c:ser>
          <c:idx val="0"/>
          <c:order val="0"/>
          <c:tx>
            <c:strRef>
              <c:f>Sheet1!$A$2</c:f>
              <c:strCache>
                <c:ptCount val="1"/>
                <c:pt idx="0">
                  <c:v>2013 m. </c:v>
                </c:pt>
              </c:strCache>
            </c:strRef>
          </c:tx>
          <c:spPr>
            <a:solidFill>
              <a:srgbClr val="BBE0E3"/>
            </a:solidFill>
            <a:ln w="10857">
              <a:solidFill>
                <a:srgbClr val="000000"/>
              </a:solidFill>
              <a:prstDash val="solid"/>
            </a:ln>
          </c:spPr>
          <c:dLbls>
            <c:spPr>
              <a:noFill/>
              <a:ln w="21671">
                <a:noFill/>
              </a:ln>
            </c:spPr>
            <c:txPr>
              <a:bodyPr/>
              <a:lstStyle/>
              <a:p>
                <a:pPr>
                  <a:defRPr sz="1003" b="1" i="0" u="none" strike="noStrike" baseline="0">
                    <a:solidFill>
                      <a:srgbClr val="000000"/>
                    </a:solidFill>
                    <a:latin typeface="Arial"/>
                    <a:ea typeface="Arial"/>
                    <a:cs typeface="Arial"/>
                  </a:defRPr>
                </a:pPr>
                <a:endParaRPr lang="lt-LT"/>
              </a:p>
            </c:txPr>
            <c:showVal val="1"/>
          </c:dLbls>
          <c:cat>
            <c:numRef>
              <c:f>Sheet1!$B$1:$B$1</c:f>
              <c:numCache>
                <c:formatCode>General</c:formatCode>
                <c:ptCount val="1"/>
              </c:numCache>
            </c:numRef>
          </c:cat>
          <c:val>
            <c:numRef>
              <c:f>Sheet1!$B$2:$B$2</c:f>
              <c:numCache>
                <c:formatCode>0.0</c:formatCode>
                <c:ptCount val="1"/>
                <c:pt idx="0">
                  <c:v>6.4</c:v>
                </c:pt>
              </c:numCache>
            </c:numRef>
          </c:val>
        </c:ser>
        <c:ser>
          <c:idx val="1"/>
          <c:order val="1"/>
          <c:tx>
            <c:strRef>
              <c:f>Sheet1!$A$3</c:f>
              <c:strCache>
                <c:ptCount val="1"/>
                <c:pt idx="0">
                  <c:v>2014 m. </c:v>
                </c:pt>
              </c:strCache>
            </c:strRef>
          </c:tx>
          <c:spPr>
            <a:solidFill>
              <a:srgbClr val="333399"/>
            </a:solidFill>
            <a:ln w="10857">
              <a:solidFill>
                <a:srgbClr val="000000"/>
              </a:solidFill>
              <a:prstDash val="solid"/>
            </a:ln>
          </c:spPr>
          <c:dLbls>
            <c:spPr>
              <a:noFill/>
              <a:ln w="21671">
                <a:noFill/>
              </a:ln>
            </c:spPr>
            <c:txPr>
              <a:bodyPr/>
              <a:lstStyle/>
              <a:p>
                <a:pPr>
                  <a:defRPr sz="1113" b="1" i="0" u="none" strike="noStrike" baseline="0">
                    <a:solidFill>
                      <a:srgbClr val="000000"/>
                    </a:solidFill>
                    <a:latin typeface="Arial"/>
                    <a:ea typeface="Arial"/>
                    <a:cs typeface="Arial"/>
                  </a:defRPr>
                </a:pPr>
                <a:endParaRPr lang="lt-LT"/>
              </a:p>
            </c:txPr>
            <c:showVal val="1"/>
          </c:dLbls>
          <c:cat>
            <c:numRef>
              <c:f>Sheet1!$B$1:$B$1</c:f>
              <c:numCache>
                <c:formatCode>General</c:formatCode>
                <c:ptCount val="1"/>
              </c:numCache>
            </c:numRef>
          </c:cat>
          <c:val>
            <c:numRef>
              <c:f>Sheet1!$B$3:$B$3</c:f>
              <c:numCache>
                <c:formatCode>General</c:formatCode>
                <c:ptCount val="1"/>
                <c:pt idx="0">
                  <c:v>6.4</c:v>
                </c:pt>
              </c:numCache>
            </c:numRef>
          </c:val>
        </c:ser>
        <c:ser>
          <c:idx val="2"/>
          <c:order val="2"/>
          <c:tx>
            <c:strRef>
              <c:f>Sheet1!$A$4</c:f>
              <c:strCache>
                <c:ptCount val="1"/>
                <c:pt idx="0">
                  <c:v>2015 m. </c:v>
                </c:pt>
              </c:strCache>
            </c:strRef>
          </c:tx>
          <c:spPr>
            <a:solidFill>
              <a:srgbClr val="009999"/>
            </a:solidFill>
            <a:ln w="10857">
              <a:solidFill>
                <a:srgbClr val="000000"/>
              </a:solidFill>
              <a:prstDash val="solid"/>
            </a:ln>
          </c:spPr>
          <c:dLbls>
            <c:spPr>
              <a:noFill/>
              <a:ln w="21671">
                <a:noFill/>
              </a:ln>
            </c:spPr>
            <c:txPr>
              <a:bodyPr/>
              <a:lstStyle/>
              <a:p>
                <a:pPr>
                  <a:defRPr sz="1003" b="1" i="0" u="none" strike="noStrike" baseline="0">
                    <a:solidFill>
                      <a:srgbClr val="000000"/>
                    </a:solidFill>
                    <a:latin typeface="Arial"/>
                    <a:ea typeface="Arial"/>
                    <a:cs typeface="Arial"/>
                  </a:defRPr>
                </a:pPr>
                <a:endParaRPr lang="lt-LT"/>
              </a:p>
            </c:txPr>
            <c:showVal val="1"/>
          </c:dLbls>
          <c:cat>
            <c:numRef>
              <c:f>Sheet1!$B$1:$B$1</c:f>
              <c:numCache>
                <c:formatCode>General</c:formatCode>
                <c:ptCount val="1"/>
              </c:numCache>
            </c:numRef>
          </c:cat>
          <c:val>
            <c:numRef>
              <c:f>Sheet1!$B$4:$B$4</c:f>
              <c:numCache>
                <c:formatCode>General</c:formatCode>
                <c:ptCount val="1"/>
                <c:pt idx="0">
                  <c:v>6.7</c:v>
                </c:pt>
              </c:numCache>
            </c:numRef>
          </c:val>
        </c:ser>
        <c:axId val="185119104"/>
        <c:axId val="185120640"/>
      </c:barChart>
      <c:catAx>
        <c:axId val="185119104"/>
        <c:scaling>
          <c:orientation val="minMax"/>
        </c:scaling>
        <c:axPos val="b"/>
        <c:numFmt formatCode="General" sourceLinked="1"/>
        <c:tickLblPos val="nextTo"/>
        <c:spPr>
          <a:ln w="2714">
            <a:solidFill>
              <a:srgbClr val="000000"/>
            </a:solidFill>
            <a:prstDash val="solid"/>
          </a:ln>
        </c:spPr>
        <c:txPr>
          <a:bodyPr rot="0" vert="horz"/>
          <a:lstStyle/>
          <a:p>
            <a:pPr>
              <a:defRPr sz="1003" b="1" i="0" u="none" strike="noStrike" baseline="0">
                <a:solidFill>
                  <a:srgbClr val="000000"/>
                </a:solidFill>
                <a:latin typeface="Arial"/>
                <a:ea typeface="Arial"/>
                <a:cs typeface="Arial"/>
              </a:defRPr>
            </a:pPr>
            <a:endParaRPr lang="lt-LT"/>
          </a:p>
        </c:txPr>
        <c:crossAx val="185120640"/>
        <c:crosses val="autoZero"/>
        <c:auto val="1"/>
        <c:lblAlgn val="ctr"/>
        <c:lblOffset val="100"/>
        <c:tickLblSkip val="1"/>
        <c:tickMarkSkip val="1"/>
      </c:catAx>
      <c:valAx>
        <c:axId val="185120640"/>
        <c:scaling>
          <c:orientation val="minMax"/>
          <c:min val="0"/>
        </c:scaling>
        <c:axPos val="l"/>
        <c:majorGridlines>
          <c:spPr>
            <a:ln w="2714">
              <a:solidFill>
                <a:srgbClr val="000000"/>
              </a:solidFill>
              <a:prstDash val="solid"/>
            </a:ln>
          </c:spPr>
        </c:majorGridlines>
        <c:numFmt formatCode="0.0" sourceLinked="1"/>
        <c:tickLblPos val="nextTo"/>
        <c:spPr>
          <a:ln w="2714">
            <a:solidFill>
              <a:srgbClr val="000000"/>
            </a:solidFill>
            <a:prstDash val="solid"/>
          </a:ln>
        </c:spPr>
        <c:txPr>
          <a:bodyPr rot="0" vert="horz"/>
          <a:lstStyle/>
          <a:p>
            <a:pPr>
              <a:defRPr sz="1003" b="1" i="0" u="none" strike="noStrike" baseline="0">
                <a:solidFill>
                  <a:srgbClr val="000000"/>
                </a:solidFill>
                <a:latin typeface="Arial"/>
                <a:ea typeface="Arial"/>
                <a:cs typeface="Arial"/>
              </a:defRPr>
            </a:pPr>
            <a:endParaRPr lang="lt-LT"/>
          </a:p>
        </c:txPr>
        <c:crossAx val="185119104"/>
        <c:crosses val="autoZero"/>
        <c:crossBetween val="between"/>
        <c:majorUnit val="10"/>
      </c:valAx>
      <c:spPr>
        <a:solidFill>
          <a:srgbClr val="C0C0C0"/>
        </a:solidFill>
        <a:ln w="10857">
          <a:solidFill>
            <a:srgbClr val="808080"/>
          </a:solidFill>
          <a:prstDash val="solid"/>
        </a:ln>
      </c:spPr>
    </c:plotArea>
    <c:legend>
      <c:legendPos val="r"/>
      <c:layout>
        <c:manualLayout>
          <c:xMode val="edge"/>
          <c:yMode val="edge"/>
          <c:x val="0.83537653239929965"/>
          <c:y val="0.35447761194030297"/>
          <c:w val="0.15411558669001751"/>
          <c:h val="0.27238805970149282"/>
        </c:manualLayout>
      </c:layout>
      <c:spPr>
        <a:noFill/>
        <a:ln w="2714">
          <a:solidFill>
            <a:srgbClr val="000000"/>
          </a:solidFill>
          <a:prstDash val="solid"/>
        </a:ln>
      </c:spPr>
      <c:txPr>
        <a:bodyPr/>
        <a:lstStyle/>
        <a:p>
          <a:pPr>
            <a:defRPr sz="923" b="1" i="0" u="none" strike="noStrike" baseline="0">
              <a:solidFill>
                <a:srgbClr val="000000"/>
              </a:solidFill>
              <a:latin typeface="Arial"/>
              <a:ea typeface="Arial"/>
              <a:cs typeface="Arial"/>
            </a:defRPr>
          </a:pPr>
          <a:endParaRPr lang="lt-LT"/>
        </a:p>
      </c:txPr>
    </c:legend>
    <c:plotVisOnly val="1"/>
    <c:dispBlanksAs val="gap"/>
  </c:chart>
  <c:spPr>
    <a:noFill/>
    <a:ln>
      <a:noFill/>
    </a:ln>
  </c:spPr>
  <c:txPr>
    <a:bodyPr/>
    <a:lstStyle/>
    <a:p>
      <a:pPr>
        <a:defRPr sz="1003" b="1" i="0" u="none" strike="noStrike" baseline="0">
          <a:solidFill>
            <a:srgbClr val="000000"/>
          </a:solidFill>
          <a:latin typeface="Arial"/>
          <a:ea typeface="Arial"/>
          <a:cs typeface="Arial"/>
        </a:defRPr>
      </a:pPr>
      <a:endParaRPr lang="lt-LT"/>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lt-LT"/>
  <c:chart>
    <c:autoTitleDeleted val="1"/>
    <c:plotArea>
      <c:layout>
        <c:manualLayout>
          <c:layoutTarget val="inner"/>
          <c:xMode val="edge"/>
          <c:yMode val="edge"/>
          <c:x val="0.22612085769980467"/>
          <c:y val="0.19063545150501673"/>
          <c:w val="0.31773879142300232"/>
          <c:h val="0.54515050167223456"/>
        </c:manualLayout>
      </c:layout>
      <c:pieChart>
        <c:varyColors val="1"/>
        <c:ser>
          <c:idx val="0"/>
          <c:order val="0"/>
          <c:tx>
            <c:strRef>
              <c:f>Sheet1!$A$2</c:f>
              <c:strCache>
                <c:ptCount val="1"/>
                <c:pt idx="0">
                  <c:v>2015 m.</c:v>
                </c:pt>
              </c:strCache>
            </c:strRef>
          </c:tx>
          <c:spPr>
            <a:solidFill>
              <a:srgbClr val="BBE0E3"/>
            </a:solidFill>
            <a:ln w="7591">
              <a:solidFill>
                <a:srgbClr val="000000"/>
              </a:solidFill>
              <a:prstDash val="solid"/>
            </a:ln>
          </c:spPr>
          <c:dPt>
            <c:idx val="1"/>
            <c:spPr>
              <a:solidFill>
                <a:srgbClr val="333399"/>
              </a:solidFill>
              <a:ln w="7591">
                <a:solidFill>
                  <a:srgbClr val="000000"/>
                </a:solidFill>
                <a:prstDash val="solid"/>
              </a:ln>
            </c:spPr>
          </c:dPt>
          <c:dPt>
            <c:idx val="2"/>
            <c:spPr>
              <a:solidFill>
                <a:srgbClr val="009999"/>
              </a:solidFill>
              <a:ln w="7591">
                <a:solidFill>
                  <a:srgbClr val="000000"/>
                </a:solidFill>
                <a:prstDash val="solid"/>
              </a:ln>
            </c:spPr>
          </c:dPt>
          <c:dLbls>
            <c:dLbl>
              <c:idx val="2"/>
              <c:delete val="1"/>
            </c:dLbl>
            <c:spPr>
              <a:noFill/>
              <a:ln w="15163">
                <a:noFill/>
              </a:ln>
            </c:spPr>
            <c:txPr>
              <a:bodyPr/>
              <a:lstStyle/>
              <a:p>
                <a:pPr>
                  <a:defRPr sz="776" b="1" i="0" u="none" strike="noStrike" baseline="0">
                    <a:solidFill>
                      <a:srgbClr val="000000"/>
                    </a:solidFill>
                    <a:latin typeface="Arial"/>
                    <a:ea typeface="Arial"/>
                    <a:cs typeface="Arial"/>
                  </a:defRPr>
                </a:pPr>
                <a:endParaRPr lang="lt-LT"/>
              </a:p>
            </c:txPr>
            <c:showVal val="1"/>
            <c:showLeaderLines val="1"/>
          </c:dLbls>
          <c:cat>
            <c:strRef>
              <c:f>Sheet1!$B$1:$D$1</c:f>
              <c:strCache>
                <c:ptCount val="2"/>
                <c:pt idx="0">
                  <c:v>Rietavo neįgaliųjų draugija</c:v>
                </c:pt>
                <c:pt idx="1">
                  <c:v>Rietavo viltis</c:v>
                </c:pt>
              </c:strCache>
            </c:strRef>
          </c:cat>
          <c:val>
            <c:numRef>
              <c:f>Sheet1!$B$2:$D$2</c:f>
              <c:numCache>
                <c:formatCode>0.0</c:formatCode>
                <c:ptCount val="3"/>
                <c:pt idx="0" formatCode="General">
                  <c:v>9.9</c:v>
                </c:pt>
                <c:pt idx="1">
                  <c:v>5.9</c:v>
                </c:pt>
              </c:numCache>
            </c:numRef>
          </c:val>
        </c:ser>
        <c:ser>
          <c:idx val="1"/>
          <c:order val="1"/>
          <c:tx>
            <c:strRef>
              <c:f>Sheet1!$A$3</c:f>
              <c:strCache>
                <c:ptCount val="1"/>
              </c:strCache>
            </c:strRef>
          </c:tx>
          <c:spPr>
            <a:solidFill>
              <a:srgbClr val="333399"/>
            </a:solidFill>
            <a:ln w="7591">
              <a:solidFill>
                <a:srgbClr val="000000"/>
              </a:solidFill>
              <a:prstDash val="solid"/>
            </a:ln>
          </c:spPr>
          <c:dPt>
            <c:idx val="0"/>
            <c:spPr>
              <a:solidFill>
                <a:srgbClr val="BBE0E3"/>
              </a:solidFill>
              <a:ln w="7591">
                <a:solidFill>
                  <a:srgbClr val="000000"/>
                </a:solidFill>
                <a:prstDash val="solid"/>
              </a:ln>
            </c:spPr>
          </c:dPt>
          <c:dPt>
            <c:idx val="2"/>
            <c:spPr>
              <a:solidFill>
                <a:srgbClr val="009999"/>
              </a:solidFill>
              <a:ln w="7591">
                <a:solidFill>
                  <a:srgbClr val="000000"/>
                </a:solidFill>
                <a:prstDash val="solid"/>
              </a:ln>
            </c:spPr>
          </c:dPt>
          <c:cat>
            <c:strRef>
              <c:f>Sheet1!$B$1:$D$1</c:f>
              <c:strCache>
                <c:ptCount val="2"/>
                <c:pt idx="0">
                  <c:v>Rietavo neįgaliųjų draugija</c:v>
                </c:pt>
                <c:pt idx="1">
                  <c:v>Rietavo viltis</c:v>
                </c:pt>
              </c:strCache>
            </c:strRef>
          </c:cat>
          <c:val>
            <c:numRef>
              <c:f>Sheet1!$B$3:$D$3</c:f>
              <c:numCache>
                <c:formatCode>General</c:formatCode>
                <c:ptCount val="3"/>
              </c:numCache>
            </c:numRef>
          </c:val>
        </c:ser>
        <c:firstSliceAng val="0"/>
      </c:pieChart>
      <c:spPr>
        <a:solidFill>
          <a:srgbClr val="C0C0C0"/>
        </a:solidFill>
        <a:ln w="7591">
          <a:solidFill>
            <a:srgbClr val="808080"/>
          </a:solidFill>
          <a:prstDash val="solid"/>
        </a:ln>
      </c:spPr>
    </c:plotArea>
    <c:legend>
      <c:legendPos val="r"/>
      <c:legendEntry>
        <c:idx val="2"/>
        <c:delete val="1"/>
      </c:legendEntry>
      <c:layout>
        <c:manualLayout>
          <c:xMode val="edge"/>
          <c:yMode val="edge"/>
          <c:x val="0.112"/>
          <c:y val="0.87162162162162904"/>
          <c:w val="0.72200000000000064"/>
          <c:h val="9.4594594594596584E-2"/>
        </c:manualLayout>
      </c:layout>
      <c:spPr>
        <a:noFill/>
        <a:ln w="1898">
          <a:solidFill>
            <a:srgbClr val="000000"/>
          </a:solidFill>
          <a:prstDash val="solid"/>
        </a:ln>
      </c:spPr>
      <c:txPr>
        <a:bodyPr/>
        <a:lstStyle/>
        <a:p>
          <a:pPr>
            <a:defRPr sz="714" b="1" i="0" u="none" strike="noStrike" baseline="0">
              <a:solidFill>
                <a:srgbClr val="000000"/>
              </a:solidFill>
              <a:latin typeface="Arial"/>
              <a:ea typeface="Arial"/>
              <a:cs typeface="Arial"/>
            </a:defRPr>
          </a:pPr>
          <a:endParaRPr lang="lt-LT"/>
        </a:p>
      </c:txPr>
    </c:legend>
    <c:plotVisOnly val="1"/>
    <c:dispBlanksAs val="zero"/>
  </c:chart>
  <c:spPr>
    <a:noFill/>
    <a:ln>
      <a:noFill/>
    </a:ln>
  </c:spPr>
  <c:txPr>
    <a:bodyPr/>
    <a:lstStyle/>
    <a:p>
      <a:pPr>
        <a:defRPr sz="776" b="1" i="0" u="none" strike="noStrike" baseline="0">
          <a:solidFill>
            <a:srgbClr val="000000"/>
          </a:solidFill>
          <a:latin typeface="Arial"/>
          <a:ea typeface="Arial"/>
          <a:cs typeface="Arial"/>
        </a:defRPr>
      </a:pPr>
      <a:endParaRPr lang="lt-LT"/>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lt-LT"/>
  <c:chart>
    <c:autoTitleDeleted val="1"/>
    <c:plotArea>
      <c:layout>
        <c:manualLayout>
          <c:layoutTarget val="inner"/>
          <c:xMode val="edge"/>
          <c:yMode val="edge"/>
          <c:x val="6.7264573991031834E-2"/>
          <c:y val="7.2413793103449725E-2"/>
          <c:w val="0.62182361733932812"/>
          <c:h val="0.78965517241380889"/>
        </c:manualLayout>
      </c:layout>
      <c:barChart>
        <c:barDir val="col"/>
        <c:grouping val="clustered"/>
        <c:ser>
          <c:idx val="0"/>
          <c:order val="0"/>
          <c:tx>
            <c:strRef>
              <c:f>Sheet1!$A$2</c:f>
              <c:strCache>
                <c:ptCount val="1"/>
                <c:pt idx="0">
                  <c:v>paramą gaunančių asmenų skaičius</c:v>
                </c:pt>
              </c:strCache>
            </c:strRef>
          </c:tx>
          <c:spPr>
            <a:solidFill>
              <a:srgbClr val="BBE0E3"/>
            </a:solidFill>
            <a:ln w="9955">
              <a:solidFill>
                <a:srgbClr val="000000"/>
              </a:solidFill>
              <a:prstDash val="solid"/>
            </a:ln>
          </c:spPr>
          <c:dLbls>
            <c:spPr>
              <a:noFill/>
              <a:ln w="19946">
                <a:noFill/>
              </a:ln>
            </c:spPr>
            <c:txPr>
              <a:bodyPr/>
              <a:lstStyle/>
              <a:p>
                <a:pPr>
                  <a:defRPr sz="766" b="1" i="0" u="none" strike="noStrike" baseline="0">
                    <a:solidFill>
                      <a:srgbClr val="000000"/>
                    </a:solidFill>
                    <a:latin typeface="Arial"/>
                    <a:ea typeface="Arial"/>
                    <a:cs typeface="Arial"/>
                  </a:defRPr>
                </a:pPr>
                <a:endParaRPr lang="lt-LT"/>
              </a:p>
            </c:txPr>
            <c:showVal val="1"/>
          </c:dLbls>
          <c:cat>
            <c:strRef>
              <c:f>Sheet1!$B$1:$D$1</c:f>
              <c:strCache>
                <c:ptCount val="3"/>
                <c:pt idx="0">
                  <c:v>2013 m. </c:v>
                </c:pt>
                <c:pt idx="1">
                  <c:v>2014 m.</c:v>
                </c:pt>
                <c:pt idx="2">
                  <c:v>2015 m.</c:v>
                </c:pt>
              </c:strCache>
            </c:strRef>
          </c:cat>
          <c:val>
            <c:numRef>
              <c:f>Sheet1!$B$2:$D$2</c:f>
              <c:numCache>
                <c:formatCode>General</c:formatCode>
                <c:ptCount val="3"/>
                <c:pt idx="0">
                  <c:v>1870</c:v>
                </c:pt>
                <c:pt idx="1">
                  <c:v>1236</c:v>
                </c:pt>
                <c:pt idx="2">
                  <c:v>1085</c:v>
                </c:pt>
              </c:numCache>
            </c:numRef>
          </c:val>
        </c:ser>
        <c:axId val="185629312"/>
        <c:axId val="185647488"/>
      </c:barChart>
      <c:catAx>
        <c:axId val="185629312"/>
        <c:scaling>
          <c:orientation val="minMax"/>
        </c:scaling>
        <c:axPos val="b"/>
        <c:numFmt formatCode="General" sourceLinked="1"/>
        <c:tickLblPos val="nextTo"/>
        <c:spPr>
          <a:ln w="2488">
            <a:solidFill>
              <a:srgbClr val="000000"/>
            </a:solidFill>
            <a:prstDash val="solid"/>
          </a:ln>
        </c:spPr>
        <c:txPr>
          <a:bodyPr rot="0" vert="horz"/>
          <a:lstStyle/>
          <a:p>
            <a:pPr>
              <a:defRPr sz="766" b="1" i="0" u="none" strike="noStrike" baseline="0">
                <a:solidFill>
                  <a:srgbClr val="000000"/>
                </a:solidFill>
                <a:latin typeface="Arial"/>
                <a:ea typeface="Arial"/>
                <a:cs typeface="Arial"/>
              </a:defRPr>
            </a:pPr>
            <a:endParaRPr lang="lt-LT"/>
          </a:p>
        </c:txPr>
        <c:crossAx val="185647488"/>
        <c:crosses val="autoZero"/>
        <c:auto val="1"/>
        <c:lblAlgn val="ctr"/>
        <c:lblOffset val="100"/>
        <c:tickLblSkip val="1"/>
        <c:tickMarkSkip val="1"/>
      </c:catAx>
      <c:valAx>
        <c:axId val="185647488"/>
        <c:scaling>
          <c:orientation val="minMax"/>
          <c:max val="2800"/>
          <c:min val="0"/>
        </c:scaling>
        <c:axPos val="l"/>
        <c:majorGridlines>
          <c:spPr>
            <a:ln w="2488">
              <a:solidFill>
                <a:srgbClr val="000000"/>
              </a:solidFill>
              <a:prstDash val="solid"/>
            </a:ln>
          </c:spPr>
        </c:majorGridlines>
        <c:numFmt formatCode="General" sourceLinked="1"/>
        <c:tickLblPos val="nextTo"/>
        <c:spPr>
          <a:ln w="2488">
            <a:solidFill>
              <a:srgbClr val="000000"/>
            </a:solidFill>
            <a:prstDash val="solid"/>
          </a:ln>
        </c:spPr>
        <c:txPr>
          <a:bodyPr rot="0" vert="horz"/>
          <a:lstStyle/>
          <a:p>
            <a:pPr>
              <a:defRPr sz="648" b="0" i="0" u="none" strike="noStrike" baseline="0">
                <a:solidFill>
                  <a:srgbClr val="000000"/>
                </a:solidFill>
                <a:latin typeface="Arial"/>
                <a:ea typeface="Arial"/>
                <a:cs typeface="Arial"/>
              </a:defRPr>
            </a:pPr>
            <a:endParaRPr lang="lt-LT"/>
          </a:p>
        </c:txPr>
        <c:crossAx val="185629312"/>
        <c:crosses val="autoZero"/>
        <c:crossBetween val="between"/>
        <c:majorUnit val="500"/>
        <c:minorUnit val="500"/>
      </c:valAx>
      <c:spPr>
        <a:solidFill>
          <a:srgbClr val="C0C0C0"/>
        </a:solidFill>
        <a:ln w="9955">
          <a:solidFill>
            <a:srgbClr val="808080"/>
          </a:solidFill>
          <a:prstDash val="solid"/>
        </a:ln>
      </c:spPr>
    </c:plotArea>
    <c:legend>
      <c:legendPos val="r"/>
      <c:layout>
        <c:manualLayout>
          <c:xMode val="edge"/>
          <c:yMode val="edge"/>
          <c:x val="0.70875179340029448"/>
          <c:y val="0.40067340067340068"/>
          <c:w val="0.27977044476327118"/>
          <c:h val="0.12457912457912459"/>
        </c:manualLayout>
      </c:layout>
      <c:spPr>
        <a:noFill/>
        <a:ln w="2488">
          <a:solidFill>
            <a:srgbClr val="000000"/>
          </a:solidFill>
          <a:prstDash val="solid"/>
        </a:ln>
      </c:spPr>
      <c:txPr>
        <a:bodyPr/>
        <a:lstStyle/>
        <a:p>
          <a:pPr>
            <a:defRPr sz="701" b="1" i="0" u="none" strike="noStrike" baseline="0">
              <a:solidFill>
                <a:srgbClr val="000000"/>
              </a:solidFill>
              <a:latin typeface="Arial"/>
              <a:ea typeface="Arial"/>
              <a:cs typeface="Arial"/>
            </a:defRPr>
          </a:pPr>
          <a:endParaRPr lang="lt-LT"/>
        </a:p>
      </c:txPr>
    </c:legend>
    <c:plotVisOnly val="1"/>
    <c:dispBlanksAs val="gap"/>
  </c:chart>
  <c:spPr>
    <a:noFill/>
    <a:ln>
      <a:noFill/>
    </a:ln>
  </c:spPr>
  <c:txPr>
    <a:bodyPr/>
    <a:lstStyle/>
    <a:p>
      <a:pPr>
        <a:defRPr sz="766" b="1" i="0" u="none" strike="noStrike" baseline="0">
          <a:solidFill>
            <a:srgbClr val="000000"/>
          </a:solidFill>
          <a:latin typeface="Arial"/>
          <a:ea typeface="Arial"/>
          <a:cs typeface="Arial"/>
        </a:defRPr>
      </a:pPr>
      <a:endParaRPr lang="lt-LT"/>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Times New Roman"/>
                <a:ea typeface="Times New Roman"/>
                <a:cs typeface="Times New Roman"/>
              </a:defRPr>
            </a:pPr>
            <a:r>
              <a:rPr lang="lt-LT"/>
              <a:t>Mirtingumas</a:t>
            </a:r>
          </a:p>
        </c:rich>
      </c:tx>
      <c:layout>
        <c:manualLayout>
          <c:xMode val="edge"/>
          <c:yMode val="edge"/>
          <c:x val="0.42524916943521596"/>
          <c:y val="1.9801980198019997E-2"/>
        </c:manualLayout>
      </c:layout>
      <c:spPr>
        <a:noFill/>
        <a:ln w="25400">
          <a:noFill/>
        </a:ln>
      </c:spPr>
    </c:title>
    <c:plotArea>
      <c:layout>
        <c:manualLayout>
          <c:layoutTarget val="inner"/>
          <c:xMode val="edge"/>
          <c:yMode val="edge"/>
          <c:x val="7.1428571428571425E-2"/>
          <c:y val="0.19405940594059409"/>
          <c:w val="0.91196013289036548"/>
          <c:h val="0.67722772277227761"/>
        </c:manualLayout>
      </c:layout>
      <c:barChart>
        <c:barDir val="col"/>
        <c:grouping val="clustered"/>
        <c:ser>
          <c:idx val="0"/>
          <c:order val="0"/>
          <c:tx>
            <c:strRef>
              <c:f>Sheet1!$A$2</c:f>
              <c:strCache>
                <c:ptCount val="1"/>
                <c:pt idx="0">
                  <c:v>Mirtys</c:v>
                </c:pt>
              </c:strCache>
            </c:strRef>
          </c:tx>
          <c:spPr>
            <a:solidFill>
              <a:srgbClr val="9999FF"/>
            </a:solidFill>
            <a:ln w="12700">
              <a:solidFill>
                <a:srgbClr val="000000"/>
              </a:solidFill>
              <a:prstDash val="solid"/>
            </a:ln>
          </c:spPr>
          <c:dLbls>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Sheet1!$B$2:$D$2</c:f>
              <c:numCache>
                <c:formatCode>General</c:formatCode>
                <c:ptCount val="3"/>
                <c:pt idx="0">
                  <c:v>109</c:v>
                </c:pt>
                <c:pt idx="1">
                  <c:v>127</c:v>
                </c:pt>
                <c:pt idx="2">
                  <c:v>117</c:v>
                </c:pt>
              </c:numCache>
            </c:numRef>
          </c:val>
        </c:ser>
        <c:ser>
          <c:idx val="1"/>
          <c:order val="1"/>
          <c:tx>
            <c:strRef>
              <c:f>Sheet1!$A$3</c:f>
              <c:strCache>
                <c:ptCount val="1"/>
                <c:pt idx="0">
                  <c:v>Vyrai</c:v>
                </c:pt>
              </c:strCache>
            </c:strRef>
          </c:tx>
          <c:spPr>
            <a:solidFill>
              <a:srgbClr val="993366"/>
            </a:solidFill>
            <a:ln w="12700">
              <a:solidFill>
                <a:srgbClr val="000000"/>
              </a:solidFill>
              <a:prstDash val="solid"/>
            </a:ln>
          </c:spPr>
          <c:dLbls>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Sheet1!$B$3:$D$3</c:f>
              <c:numCache>
                <c:formatCode>General</c:formatCode>
                <c:ptCount val="3"/>
                <c:pt idx="0">
                  <c:v>67</c:v>
                </c:pt>
                <c:pt idx="1">
                  <c:v>65</c:v>
                </c:pt>
                <c:pt idx="2">
                  <c:v>59</c:v>
                </c:pt>
              </c:numCache>
            </c:numRef>
          </c:val>
        </c:ser>
        <c:ser>
          <c:idx val="2"/>
          <c:order val="2"/>
          <c:tx>
            <c:strRef>
              <c:f>Sheet1!$A$4</c:f>
              <c:strCache>
                <c:ptCount val="1"/>
                <c:pt idx="0">
                  <c:v>Moterys</c:v>
                </c:pt>
              </c:strCache>
            </c:strRef>
          </c:tx>
          <c:spPr>
            <a:solidFill>
              <a:srgbClr val="FFFFCC"/>
            </a:solidFill>
            <a:ln w="12700">
              <a:solidFill>
                <a:srgbClr val="000000"/>
              </a:solidFill>
              <a:prstDash val="solid"/>
            </a:ln>
          </c:spPr>
          <c:dLbls>
            <c:dLbl>
              <c:idx val="0"/>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dLbl>
            <c:dLbl>
              <c:idx val="1"/>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dLbl>
            <c:dLbl>
              <c:idx val="2"/>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dLbl>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Sheet1!$B$4:$D$4</c:f>
              <c:numCache>
                <c:formatCode>General</c:formatCode>
                <c:ptCount val="3"/>
                <c:pt idx="0">
                  <c:v>42</c:v>
                </c:pt>
                <c:pt idx="1">
                  <c:v>61</c:v>
                </c:pt>
                <c:pt idx="2">
                  <c:v>58</c:v>
                </c:pt>
              </c:numCache>
            </c:numRef>
          </c:val>
        </c:ser>
        <c:dLbls>
          <c:showVal val="1"/>
        </c:dLbls>
        <c:axId val="168805120"/>
        <c:axId val="168807040"/>
      </c:barChart>
      <c:catAx>
        <c:axId val="168805120"/>
        <c:scaling>
          <c:orientation val="minMax"/>
        </c:scaling>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833887043189656"/>
              <c:y val="0.93267326732673272"/>
            </c:manualLayout>
          </c:layout>
          <c:spPr>
            <a:noFill/>
            <a:ln w="25400">
              <a:noFill/>
            </a:ln>
          </c:spPr>
        </c:title>
        <c:numFmt formatCode="General" sourceLinked="1"/>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168807040"/>
        <c:crosses val="autoZero"/>
        <c:auto val="1"/>
        <c:lblAlgn val="ctr"/>
        <c:lblOffset val="100"/>
        <c:tickLblSkip val="1"/>
        <c:tickMarkSkip val="1"/>
      </c:catAx>
      <c:valAx>
        <c:axId val="16880704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168805120"/>
        <c:crosses val="autoZero"/>
        <c:crossBetween val="between"/>
        <c:majorUnit val="10"/>
        <c:minorUnit val="1"/>
      </c:valAx>
      <c:spPr>
        <a:solidFill>
          <a:srgbClr val="FFFFFF"/>
        </a:solidFill>
        <a:ln w="12700">
          <a:solidFill>
            <a:srgbClr val="808080"/>
          </a:solidFill>
          <a:prstDash val="solid"/>
        </a:ln>
      </c:spPr>
    </c:plotArea>
    <c:legend>
      <c:legendPos val="t"/>
      <c:layout>
        <c:manualLayout>
          <c:xMode val="edge"/>
          <c:yMode val="edge"/>
          <c:x val="0.38704318936877402"/>
          <c:y val="0.10297029702970295"/>
          <c:w val="0.28073089700996962"/>
          <c:h val="4.7524752475247505E-2"/>
        </c:manualLayout>
      </c:layout>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1725" b="1" i="0" u="none" strike="noStrike" baseline="0">
          <a:solidFill>
            <a:srgbClr val="000000"/>
          </a:solidFill>
          <a:latin typeface="Arial"/>
          <a:ea typeface="Arial"/>
          <a:cs typeface="Arial"/>
        </a:defRPr>
      </a:pPr>
      <a:endParaRPr lang="lt-LT"/>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lt-LT"/>
  <c:chart>
    <c:plotArea>
      <c:layout>
        <c:manualLayout>
          <c:layoutTarget val="inner"/>
          <c:xMode val="edge"/>
          <c:yMode val="edge"/>
          <c:x val="7.8559738134206233E-2"/>
          <c:y val="8.208955223880593E-2"/>
          <c:w val="0.55973813420621932"/>
          <c:h val="0.76865671641791866"/>
        </c:manualLayout>
      </c:layout>
      <c:barChart>
        <c:barDir val="col"/>
        <c:grouping val="clustered"/>
        <c:ser>
          <c:idx val="0"/>
          <c:order val="0"/>
          <c:tx>
            <c:strRef>
              <c:f>Sheet1!$A$2</c:f>
              <c:strCache>
                <c:ptCount val="1"/>
                <c:pt idx="0">
                  <c:v>VšĮ Rietavo PSPC</c:v>
                </c:pt>
              </c:strCache>
            </c:strRef>
          </c:tx>
          <c:spPr>
            <a:solidFill>
              <a:srgbClr val="BBE0E3"/>
            </a:solidFill>
            <a:ln w="10749">
              <a:solidFill>
                <a:srgbClr val="000000"/>
              </a:solidFill>
              <a:prstDash val="solid"/>
            </a:ln>
          </c:spPr>
          <c:dLbls>
            <c:spPr>
              <a:noFill/>
              <a:ln w="21519">
                <a:noFill/>
              </a:ln>
            </c:spPr>
            <c:txPr>
              <a:bodyPr/>
              <a:lstStyle/>
              <a:p>
                <a:pPr>
                  <a:defRPr sz="974"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  </c:v>
                </c:pt>
                <c:pt idx="2">
                  <c:v>2015 m.</c:v>
                </c:pt>
              </c:strCache>
            </c:strRef>
          </c:cat>
          <c:val>
            <c:numRef>
              <c:f>Sheet1!$B$2:$D$2</c:f>
              <c:numCache>
                <c:formatCode>General</c:formatCode>
                <c:ptCount val="3"/>
                <c:pt idx="0">
                  <c:v>2399</c:v>
                </c:pt>
                <c:pt idx="1">
                  <c:v>2284</c:v>
                </c:pt>
                <c:pt idx="2">
                  <c:v>2248</c:v>
                </c:pt>
              </c:numCache>
            </c:numRef>
          </c:val>
        </c:ser>
        <c:ser>
          <c:idx val="1"/>
          <c:order val="1"/>
          <c:tx>
            <c:strRef>
              <c:f>Sheet1!$A$3</c:f>
              <c:strCache>
                <c:ptCount val="1"/>
                <c:pt idx="0">
                  <c:v>UAB "Rietavo šeimos daktaras"</c:v>
                </c:pt>
              </c:strCache>
            </c:strRef>
          </c:tx>
          <c:spPr>
            <a:solidFill>
              <a:srgbClr val="333399"/>
            </a:solidFill>
            <a:ln w="10749">
              <a:solidFill>
                <a:srgbClr val="000000"/>
              </a:solidFill>
              <a:prstDash val="solid"/>
            </a:ln>
          </c:spPr>
          <c:dLbls>
            <c:spPr>
              <a:noFill/>
              <a:ln w="21519">
                <a:noFill/>
              </a:ln>
            </c:spPr>
            <c:txPr>
              <a:bodyPr/>
              <a:lstStyle/>
              <a:p>
                <a:pPr>
                  <a:defRPr sz="974"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  </c:v>
                </c:pt>
                <c:pt idx="2">
                  <c:v>2015 m.</c:v>
                </c:pt>
              </c:strCache>
            </c:strRef>
          </c:cat>
          <c:val>
            <c:numRef>
              <c:f>Sheet1!$B$3:$D$3</c:f>
              <c:numCache>
                <c:formatCode>General</c:formatCode>
                <c:ptCount val="3"/>
                <c:pt idx="0">
                  <c:v>5117</c:v>
                </c:pt>
                <c:pt idx="1">
                  <c:v>5080</c:v>
                </c:pt>
                <c:pt idx="2">
                  <c:v>5028</c:v>
                </c:pt>
              </c:numCache>
            </c:numRef>
          </c:val>
        </c:ser>
        <c:axId val="185824384"/>
        <c:axId val="185825920"/>
      </c:barChart>
      <c:catAx>
        <c:axId val="185824384"/>
        <c:scaling>
          <c:orientation val="minMax"/>
        </c:scaling>
        <c:axPos val="b"/>
        <c:numFmt formatCode="General" sourceLinked="1"/>
        <c:tickLblPos val="nextTo"/>
        <c:spPr>
          <a:ln w="2687">
            <a:solidFill>
              <a:srgbClr val="000000"/>
            </a:solidFill>
            <a:prstDash val="solid"/>
          </a:ln>
        </c:spPr>
        <c:txPr>
          <a:bodyPr rot="0" vert="horz"/>
          <a:lstStyle/>
          <a:p>
            <a:pPr>
              <a:defRPr sz="762" b="1" i="0" u="none" strike="noStrike" baseline="0">
                <a:solidFill>
                  <a:srgbClr val="000000"/>
                </a:solidFill>
                <a:latin typeface="Arial"/>
                <a:ea typeface="Arial"/>
                <a:cs typeface="Arial"/>
              </a:defRPr>
            </a:pPr>
            <a:endParaRPr lang="lt-LT"/>
          </a:p>
        </c:txPr>
        <c:crossAx val="185825920"/>
        <c:crosses val="autoZero"/>
        <c:auto val="1"/>
        <c:lblAlgn val="ctr"/>
        <c:lblOffset val="100"/>
        <c:tickLblSkip val="1"/>
        <c:tickMarkSkip val="1"/>
      </c:catAx>
      <c:valAx>
        <c:axId val="185825920"/>
        <c:scaling>
          <c:orientation val="minMax"/>
        </c:scaling>
        <c:axPos val="l"/>
        <c:majorGridlines>
          <c:spPr>
            <a:ln w="2687">
              <a:solidFill>
                <a:srgbClr val="000000"/>
              </a:solidFill>
              <a:prstDash val="solid"/>
            </a:ln>
          </c:spPr>
        </c:majorGridlines>
        <c:numFmt formatCode="General" sourceLinked="1"/>
        <c:tickLblPos val="nextTo"/>
        <c:spPr>
          <a:ln w="2687">
            <a:solidFill>
              <a:srgbClr val="000000"/>
            </a:solidFill>
            <a:prstDash val="solid"/>
          </a:ln>
        </c:spPr>
        <c:txPr>
          <a:bodyPr rot="0" vert="horz"/>
          <a:lstStyle/>
          <a:p>
            <a:pPr>
              <a:defRPr sz="762" b="0" i="0" u="none" strike="noStrike" baseline="0">
                <a:solidFill>
                  <a:srgbClr val="000000"/>
                </a:solidFill>
                <a:latin typeface="Times New Roman"/>
                <a:ea typeface="Times New Roman"/>
                <a:cs typeface="Times New Roman"/>
              </a:defRPr>
            </a:pPr>
            <a:endParaRPr lang="lt-LT"/>
          </a:p>
        </c:txPr>
        <c:crossAx val="185824384"/>
        <c:crosses val="autoZero"/>
        <c:crossBetween val="between"/>
      </c:valAx>
      <c:spPr>
        <a:solidFill>
          <a:srgbClr val="C0C0C0"/>
        </a:solidFill>
        <a:ln w="10749">
          <a:solidFill>
            <a:srgbClr val="808080"/>
          </a:solidFill>
          <a:prstDash val="solid"/>
        </a:ln>
      </c:spPr>
    </c:plotArea>
    <c:legend>
      <c:legendPos val="r"/>
      <c:layout>
        <c:manualLayout>
          <c:xMode val="edge"/>
          <c:yMode val="edge"/>
          <c:x val="0.65793780687398595"/>
          <c:y val="0.26865671641791045"/>
          <c:w val="0.31587561374796019"/>
          <c:h val="0.38805970149253782"/>
        </c:manualLayout>
      </c:layout>
      <c:spPr>
        <a:noFill/>
        <a:ln w="2687">
          <a:solidFill>
            <a:srgbClr val="000000"/>
          </a:solidFill>
          <a:prstDash val="solid"/>
        </a:ln>
      </c:spPr>
      <c:txPr>
        <a:bodyPr/>
        <a:lstStyle/>
        <a:p>
          <a:pPr>
            <a:defRPr sz="931"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974" b="1" i="0" u="none" strike="noStrike" baseline="0">
          <a:solidFill>
            <a:srgbClr val="000000"/>
          </a:solidFill>
          <a:latin typeface="Arial"/>
          <a:ea typeface="Arial"/>
          <a:cs typeface="Arial"/>
        </a:defRPr>
      </a:pPr>
      <a:endParaRPr lang="lt-LT"/>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lt-LT"/>
  <c:chart>
    <c:view3D>
      <c:hPercent val="64"/>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7.6539101497504147E-2"/>
          <c:y val="4.4776119402985093E-2"/>
          <c:w val="0.58735440931780358"/>
          <c:h val="0.82462686567164178"/>
        </c:manualLayout>
      </c:layout>
      <c:bar3DChart>
        <c:barDir val="col"/>
        <c:grouping val="clustered"/>
        <c:ser>
          <c:idx val="0"/>
          <c:order val="0"/>
          <c:tx>
            <c:strRef>
              <c:f>Sheet1!$A$2</c:f>
              <c:strCache>
                <c:ptCount val="1"/>
                <c:pt idx="0">
                  <c:v>VšĮ Rietavo PSPC</c:v>
                </c:pt>
              </c:strCache>
            </c:strRef>
          </c:tx>
          <c:spPr>
            <a:solidFill>
              <a:srgbClr val="BBE0E3"/>
            </a:solidFill>
            <a:ln w="11041">
              <a:solidFill>
                <a:srgbClr val="000000"/>
              </a:solidFill>
              <a:prstDash val="solid"/>
            </a:ln>
          </c:spPr>
          <c:dLbls>
            <c:spPr>
              <a:noFill/>
              <a:ln w="22104">
                <a:noFill/>
              </a:ln>
            </c:spPr>
            <c:txPr>
              <a:bodyPr/>
              <a:lstStyle/>
              <a:p>
                <a:pPr>
                  <a:defRPr sz="1001" b="1" i="0" u="none" strike="noStrike" baseline="0">
                    <a:solidFill>
                      <a:srgbClr val="000000"/>
                    </a:solidFill>
                    <a:latin typeface="Arial"/>
                    <a:ea typeface="Arial"/>
                    <a:cs typeface="Arial"/>
                  </a:defRPr>
                </a:pPr>
                <a:endParaRPr lang="lt-LT"/>
              </a:p>
            </c:txPr>
            <c:showVal val="1"/>
          </c:dLbls>
          <c:cat>
            <c:strRef>
              <c:f>Sheet1!$B$1:$D$1</c:f>
              <c:strCache>
                <c:ptCount val="3"/>
                <c:pt idx="0">
                  <c:v>2013 m. </c:v>
                </c:pt>
                <c:pt idx="1">
                  <c:v>2014 m. </c:v>
                </c:pt>
                <c:pt idx="2">
                  <c:v>2015 m.</c:v>
                </c:pt>
              </c:strCache>
            </c:strRef>
          </c:cat>
          <c:val>
            <c:numRef>
              <c:f>Sheet1!$B$2:$D$2</c:f>
              <c:numCache>
                <c:formatCode>General</c:formatCode>
                <c:ptCount val="3"/>
                <c:pt idx="0">
                  <c:v>15288</c:v>
                </c:pt>
                <c:pt idx="1">
                  <c:v>17544</c:v>
                </c:pt>
                <c:pt idx="2">
                  <c:v>17724</c:v>
                </c:pt>
              </c:numCache>
            </c:numRef>
          </c:val>
        </c:ser>
        <c:ser>
          <c:idx val="2"/>
          <c:order val="1"/>
          <c:tx>
            <c:strRef>
              <c:f>Sheet1!$A$4</c:f>
              <c:strCache>
                <c:ptCount val="1"/>
                <c:pt idx="0">
                  <c:v>UAB "Rietavo šeimos daktaras"</c:v>
                </c:pt>
              </c:strCache>
            </c:strRef>
          </c:tx>
          <c:spPr>
            <a:solidFill>
              <a:srgbClr val="009999"/>
            </a:solidFill>
            <a:ln w="11041">
              <a:solidFill>
                <a:srgbClr val="000000"/>
              </a:solidFill>
              <a:prstDash val="solid"/>
            </a:ln>
          </c:spPr>
          <c:dLbls>
            <c:spPr>
              <a:noFill/>
              <a:ln w="22104">
                <a:noFill/>
              </a:ln>
            </c:spPr>
            <c:txPr>
              <a:bodyPr/>
              <a:lstStyle/>
              <a:p>
                <a:pPr>
                  <a:defRPr sz="1001" b="1" i="0" u="none" strike="noStrike" baseline="0">
                    <a:solidFill>
                      <a:srgbClr val="000000"/>
                    </a:solidFill>
                    <a:latin typeface="Arial"/>
                    <a:ea typeface="Arial"/>
                    <a:cs typeface="Arial"/>
                  </a:defRPr>
                </a:pPr>
                <a:endParaRPr lang="lt-LT"/>
              </a:p>
            </c:txPr>
            <c:showVal val="1"/>
          </c:dLbls>
          <c:cat>
            <c:strRef>
              <c:f>Sheet1!$B$1:$D$1</c:f>
              <c:strCache>
                <c:ptCount val="3"/>
                <c:pt idx="0">
                  <c:v>2013 m. </c:v>
                </c:pt>
                <c:pt idx="1">
                  <c:v>2014 m. </c:v>
                </c:pt>
                <c:pt idx="2">
                  <c:v>2015 m.</c:v>
                </c:pt>
              </c:strCache>
            </c:strRef>
          </c:cat>
          <c:val>
            <c:numRef>
              <c:f>Sheet1!$B$4:$D$4</c:f>
              <c:numCache>
                <c:formatCode>General</c:formatCode>
                <c:ptCount val="3"/>
                <c:pt idx="0">
                  <c:v>32099</c:v>
                </c:pt>
                <c:pt idx="1">
                  <c:v>39200</c:v>
                </c:pt>
                <c:pt idx="2">
                  <c:v>40851</c:v>
                </c:pt>
              </c:numCache>
            </c:numRef>
          </c:val>
        </c:ser>
        <c:gapDepth val="0"/>
        <c:shape val="box"/>
        <c:axId val="185458688"/>
        <c:axId val="185460224"/>
        <c:axId val="0"/>
      </c:bar3DChart>
      <c:catAx>
        <c:axId val="185458688"/>
        <c:scaling>
          <c:orientation val="minMax"/>
        </c:scaling>
        <c:axPos val="b"/>
        <c:numFmt formatCode="General" sourceLinked="1"/>
        <c:tickLblPos val="low"/>
        <c:spPr>
          <a:ln w="2760">
            <a:solidFill>
              <a:srgbClr val="000000"/>
            </a:solidFill>
            <a:prstDash val="solid"/>
          </a:ln>
        </c:spPr>
        <c:txPr>
          <a:bodyPr rot="0" vert="horz"/>
          <a:lstStyle/>
          <a:p>
            <a:pPr>
              <a:defRPr sz="783" b="1" i="0" u="none" strike="noStrike" baseline="0">
                <a:solidFill>
                  <a:srgbClr val="000000"/>
                </a:solidFill>
                <a:latin typeface="Arial"/>
                <a:ea typeface="Arial"/>
                <a:cs typeface="Arial"/>
              </a:defRPr>
            </a:pPr>
            <a:endParaRPr lang="lt-LT"/>
          </a:p>
        </c:txPr>
        <c:crossAx val="185460224"/>
        <c:crosses val="autoZero"/>
        <c:auto val="1"/>
        <c:lblAlgn val="ctr"/>
        <c:lblOffset val="100"/>
        <c:tickLblSkip val="1"/>
        <c:tickMarkSkip val="1"/>
      </c:catAx>
      <c:valAx>
        <c:axId val="185460224"/>
        <c:scaling>
          <c:orientation val="minMax"/>
        </c:scaling>
        <c:axPos val="l"/>
        <c:majorGridlines>
          <c:spPr>
            <a:ln w="2760">
              <a:solidFill>
                <a:srgbClr val="000000"/>
              </a:solidFill>
              <a:prstDash val="solid"/>
            </a:ln>
          </c:spPr>
        </c:majorGridlines>
        <c:numFmt formatCode="General" sourceLinked="1"/>
        <c:tickLblPos val="nextTo"/>
        <c:spPr>
          <a:ln w="2760">
            <a:solidFill>
              <a:srgbClr val="000000"/>
            </a:solidFill>
            <a:prstDash val="solid"/>
          </a:ln>
        </c:spPr>
        <c:txPr>
          <a:bodyPr rot="0" vert="horz"/>
          <a:lstStyle/>
          <a:p>
            <a:pPr>
              <a:defRPr sz="783" b="0" i="0" u="none" strike="noStrike" baseline="0">
                <a:solidFill>
                  <a:srgbClr val="000000"/>
                </a:solidFill>
                <a:latin typeface="Times New Roman"/>
                <a:ea typeface="Times New Roman"/>
                <a:cs typeface="Times New Roman"/>
              </a:defRPr>
            </a:pPr>
            <a:endParaRPr lang="lt-LT"/>
          </a:p>
        </c:txPr>
        <c:crossAx val="185458688"/>
        <c:crosses val="autoZero"/>
        <c:crossBetween val="between"/>
      </c:valAx>
      <c:spPr>
        <a:noFill/>
        <a:ln w="22104">
          <a:noFill/>
        </a:ln>
      </c:spPr>
    </c:plotArea>
    <c:legend>
      <c:legendPos val="r"/>
      <c:layout>
        <c:manualLayout>
          <c:xMode val="edge"/>
          <c:yMode val="edge"/>
          <c:x val="0.6821963394342766"/>
          <c:y val="0.42537313432835838"/>
          <c:w val="0.31114808652246495"/>
          <c:h val="0.15298507462686667"/>
        </c:manualLayout>
      </c:layout>
      <c:spPr>
        <a:noFill/>
        <a:ln w="2760">
          <a:solidFill>
            <a:srgbClr val="000000"/>
          </a:solidFill>
          <a:prstDash val="solid"/>
        </a:ln>
      </c:spPr>
      <c:txPr>
        <a:bodyPr/>
        <a:lstStyle/>
        <a:p>
          <a:pPr>
            <a:defRPr sz="717"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1001" b="1" i="0" u="none" strike="noStrike" baseline="0">
          <a:solidFill>
            <a:srgbClr val="000000"/>
          </a:solidFill>
          <a:latin typeface="Arial"/>
          <a:ea typeface="Arial"/>
          <a:cs typeface="Arial"/>
        </a:defRPr>
      </a:pPr>
      <a:endParaRPr lang="lt-LT"/>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600" b="0">
                <a:latin typeface="Times New Roman" pitchFamily="18" charset="0"/>
                <a:cs typeface="Times New Roman" pitchFamily="18" charset="0"/>
              </a:rPr>
              <a:t>Visuomenės sveikatos rėmimo specialioji programa</a:t>
            </a:r>
          </a:p>
        </c:rich>
      </c:tx>
      <c:spPr>
        <a:noFill/>
        <a:ln w="25393">
          <a:noFill/>
        </a:ln>
      </c:spPr>
    </c:title>
    <c:plotArea>
      <c:layout/>
      <c:barChart>
        <c:barDir val="col"/>
        <c:grouping val="clustered"/>
        <c:ser>
          <c:idx val="0"/>
          <c:order val="0"/>
          <c:tx>
            <c:strRef>
              <c:f>Lapas1!$B$1</c:f>
              <c:strCache>
                <c:ptCount val="1"/>
                <c:pt idx="0">
                  <c:v>Lėšos (tūkst. Eur.)</c:v>
                </c:pt>
              </c:strCache>
            </c:strRef>
          </c:tx>
          <c:dLbls>
            <c:numFmt formatCode="General" sourceLinked="0"/>
            <c:spPr>
              <a:noFill/>
              <a:ln w="25393">
                <a:noFill/>
              </a:ln>
            </c:spPr>
            <c:dLblPos val="outEnd"/>
            <c:showVal val="1"/>
          </c:dLbls>
          <c:cat>
            <c:strRef>
              <c:f>Lapas1!$A$2:$A$4</c:f>
              <c:strCache>
                <c:ptCount val="3"/>
                <c:pt idx="0">
                  <c:v>2013 m.</c:v>
                </c:pt>
                <c:pt idx="1">
                  <c:v>2014 m. </c:v>
                </c:pt>
                <c:pt idx="2">
                  <c:v>2015 m. </c:v>
                </c:pt>
              </c:strCache>
            </c:strRef>
          </c:cat>
          <c:val>
            <c:numRef>
              <c:f>Lapas1!$B$2:$B$4</c:f>
              <c:numCache>
                <c:formatCode>General</c:formatCode>
                <c:ptCount val="3"/>
                <c:pt idx="0">
                  <c:v>7.8</c:v>
                </c:pt>
                <c:pt idx="1">
                  <c:v>4.5999999999999996</c:v>
                </c:pt>
                <c:pt idx="2">
                  <c:v>4.9000000000000004</c:v>
                </c:pt>
              </c:numCache>
            </c:numRef>
          </c:val>
        </c:ser>
        <c:ser>
          <c:idx val="1"/>
          <c:order val="1"/>
          <c:tx>
            <c:strRef>
              <c:f>Lapas1!$C$1</c:f>
              <c:strCache>
                <c:ptCount val="1"/>
                <c:pt idx="0">
                  <c:v>Vykdyti projektai </c:v>
                </c:pt>
              </c:strCache>
            </c:strRef>
          </c:tx>
          <c:dLbls>
            <c:spPr>
              <a:noFill/>
              <a:ln w="25393">
                <a:noFill/>
              </a:ln>
            </c:spPr>
            <c:showVal val="1"/>
          </c:dLbls>
          <c:cat>
            <c:strRef>
              <c:f>Lapas1!$A$2:$A$4</c:f>
              <c:strCache>
                <c:ptCount val="3"/>
                <c:pt idx="0">
                  <c:v>2013 m.</c:v>
                </c:pt>
                <c:pt idx="1">
                  <c:v>2014 m. </c:v>
                </c:pt>
                <c:pt idx="2">
                  <c:v>2015 m. </c:v>
                </c:pt>
              </c:strCache>
            </c:strRef>
          </c:cat>
          <c:val>
            <c:numRef>
              <c:f>Lapas1!$C$2:$C$4</c:f>
              <c:numCache>
                <c:formatCode>General</c:formatCode>
                <c:ptCount val="3"/>
                <c:pt idx="0">
                  <c:v>10</c:v>
                </c:pt>
                <c:pt idx="1">
                  <c:v>10</c:v>
                </c:pt>
                <c:pt idx="2">
                  <c:v>14</c:v>
                </c:pt>
              </c:numCache>
            </c:numRef>
          </c:val>
        </c:ser>
        <c:axId val="185410688"/>
        <c:axId val="185412224"/>
      </c:barChart>
      <c:catAx>
        <c:axId val="185410688"/>
        <c:scaling>
          <c:orientation val="minMax"/>
        </c:scaling>
        <c:axPos val="b"/>
        <c:numFmt formatCode="General" sourceLinked="1"/>
        <c:majorTickMark val="none"/>
        <c:tickLblPos val="nextTo"/>
        <c:crossAx val="185412224"/>
        <c:crosses val="autoZero"/>
        <c:auto val="1"/>
        <c:lblAlgn val="ctr"/>
        <c:lblOffset val="100"/>
      </c:catAx>
      <c:valAx>
        <c:axId val="185412224"/>
        <c:scaling>
          <c:orientation val="minMax"/>
        </c:scaling>
        <c:axPos val="l"/>
        <c:majorGridlines/>
        <c:numFmt formatCode="General" sourceLinked="1"/>
        <c:majorTickMark val="none"/>
        <c:tickLblPos val="nextTo"/>
        <c:crossAx val="185410688"/>
        <c:crosses val="autoZero"/>
        <c:crossBetween val="between"/>
      </c:valAx>
    </c:plotArea>
    <c:legend>
      <c:legendPos val="r"/>
    </c:legend>
    <c:plotVisOnly val="1"/>
    <c:dispBlanksAs val="gap"/>
  </c:chart>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lt-LT"/>
  <c:chart>
    <c:plotArea>
      <c:layout>
        <c:manualLayout>
          <c:layoutTarget val="inner"/>
          <c:xMode val="edge"/>
          <c:yMode val="edge"/>
          <c:x val="7.0754716981132434E-2"/>
          <c:y val="7.2413793103449905E-2"/>
          <c:w val="0.65251572327044061"/>
          <c:h val="0.81379310344828615"/>
        </c:manualLayout>
      </c:layout>
      <c:barChart>
        <c:barDir val="bar"/>
        <c:grouping val="clustered"/>
        <c:ser>
          <c:idx val="0"/>
          <c:order val="0"/>
          <c:tx>
            <c:strRef>
              <c:f>Sheet1!$A$2</c:f>
              <c:strCache>
                <c:ptCount val="1"/>
                <c:pt idx="0">
                  <c:v>mokinių skaičius</c:v>
                </c:pt>
              </c:strCache>
            </c:strRef>
          </c:tx>
          <c:spPr>
            <a:ln w="10029">
              <a:solidFill>
                <a:srgbClr val="FF0000"/>
              </a:solidFill>
              <a:prstDash val="solid"/>
            </a:ln>
          </c:spPr>
          <c:dLbls>
            <c:spPr>
              <a:noFill/>
              <a:ln w="20117">
                <a:noFill/>
              </a:ln>
            </c:spPr>
            <c:txPr>
              <a:bodyPr/>
              <a:lstStyle/>
              <a:p>
                <a:pPr>
                  <a:defRPr sz="986"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c:v>
                </c:pt>
                <c:pt idx="2">
                  <c:v>2015 m.</c:v>
                </c:pt>
              </c:strCache>
            </c:strRef>
          </c:cat>
          <c:val>
            <c:numRef>
              <c:f>Sheet1!$B$2:$D$2</c:f>
              <c:numCache>
                <c:formatCode>General</c:formatCode>
                <c:ptCount val="3"/>
                <c:pt idx="0">
                  <c:v>1179</c:v>
                </c:pt>
                <c:pt idx="1">
                  <c:v>1115</c:v>
                </c:pt>
                <c:pt idx="2">
                  <c:v>1253</c:v>
                </c:pt>
              </c:numCache>
            </c:numRef>
          </c:val>
        </c:ser>
        <c:ser>
          <c:idx val="1"/>
          <c:order val="1"/>
          <c:tx>
            <c:strRef>
              <c:f>Sheet1!$A$3</c:f>
              <c:strCache>
                <c:ptCount val="1"/>
                <c:pt idx="0">
                  <c:v>finansavimas (tūkst.Eur.)</c:v>
                </c:pt>
              </c:strCache>
            </c:strRef>
          </c:tx>
          <c:spPr>
            <a:ln w="10029">
              <a:solidFill>
                <a:srgbClr val="FFFF00"/>
              </a:solidFill>
              <a:prstDash val="solid"/>
            </a:ln>
          </c:spPr>
          <c:dLbls>
            <c:dLbl>
              <c:idx val="0"/>
              <c:tx>
                <c:rich>
                  <a:bodyPr/>
                  <a:lstStyle/>
                  <a:p>
                    <a:pPr>
                      <a:defRPr sz="987" b="1" i="0" u="none" strike="noStrike" baseline="0">
                        <a:solidFill>
                          <a:srgbClr val="000000"/>
                        </a:solidFill>
                        <a:latin typeface="Arial"/>
                        <a:ea typeface="Arial"/>
                        <a:cs typeface="Arial"/>
                      </a:defRPr>
                    </a:pPr>
                    <a:r>
                      <a:rPr lang="lt-LT"/>
                      <a:t>11,9</a:t>
                    </a:r>
                    <a:endParaRPr lang="en-US"/>
                  </a:p>
                </c:rich>
              </c:tx>
              <c:spPr>
                <a:noFill/>
                <a:ln w="20117">
                  <a:noFill/>
                </a:ln>
              </c:spPr>
            </c:dLbl>
            <c:dLbl>
              <c:idx val="1"/>
              <c:tx>
                <c:rich>
                  <a:bodyPr/>
                  <a:lstStyle/>
                  <a:p>
                    <a:pPr>
                      <a:defRPr sz="987" b="1" i="0" u="none" strike="noStrike" baseline="0">
                        <a:solidFill>
                          <a:srgbClr val="000000"/>
                        </a:solidFill>
                        <a:latin typeface="Arial"/>
                        <a:ea typeface="Arial"/>
                        <a:cs typeface="Arial"/>
                      </a:defRPr>
                    </a:pPr>
                    <a:r>
                      <a:rPr lang="lt-LT"/>
                      <a:t>14,5</a:t>
                    </a:r>
                    <a:endParaRPr lang="en-US"/>
                  </a:p>
                </c:rich>
              </c:tx>
              <c:spPr>
                <a:noFill/>
                <a:ln w="20117">
                  <a:noFill/>
                </a:ln>
              </c:spPr>
            </c:dLbl>
            <c:dLbl>
              <c:idx val="2"/>
              <c:tx>
                <c:rich>
                  <a:bodyPr/>
                  <a:lstStyle/>
                  <a:p>
                    <a:pPr>
                      <a:defRPr sz="987" b="1" i="0" u="none" strike="noStrike" baseline="0">
                        <a:solidFill>
                          <a:srgbClr val="000000"/>
                        </a:solidFill>
                        <a:latin typeface="Arial"/>
                        <a:ea typeface="Arial"/>
                        <a:cs typeface="Arial"/>
                      </a:defRPr>
                    </a:pPr>
                    <a:r>
                      <a:rPr lang="lt-LT"/>
                      <a:t>14,0</a:t>
                    </a:r>
                    <a:endParaRPr lang="en-US"/>
                  </a:p>
                </c:rich>
              </c:tx>
              <c:spPr>
                <a:noFill/>
                <a:ln w="20117">
                  <a:noFill/>
                </a:ln>
              </c:spPr>
            </c:dLbl>
            <c:spPr>
              <a:noFill/>
              <a:ln w="20117">
                <a:noFill/>
              </a:ln>
            </c:spPr>
            <c:txPr>
              <a:bodyPr/>
              <a:lstStyle/>
              <a:p>
                <a:pPr>
                  <a:defRPr sz="986" b="1" i="0" u="none" strike="noStrike" baseline="0">
                    <a:solidFill>
                      <a:srgbClr val="000000"/>
                    </a:solidFill>
                    <a:latin typeface="Arial"/>
                    <a:ea typeface="Arial"/>
                    <a:cs typeface="Arial"/>
                  </a:defRPr>
                </a:pPr>
                <a:endParaRPr lang="lt-LT"/>
              </a:p>
            </c:txPr>
            <c:showVal val="1"/>
          </c:dLbls>
          <c:cat>
            <c:strRef>
              <c:f>Sheet1!$B$1:$D$1</c:f>
              <c:strCache>
                <c:ptCount val="3"/>
                <c:pt idx="0">
                  <c:v>2013 m.</c:v>
                </c:pt>
                <c:pt idx="1">
                  <c:v>2014 m.</c:v>
                </c:pt>
                <c:pt idx="2">
                  <c:v>2015 m.</c:v>
                </c:pt>
              </c:strCache>
            </c:strRef>
          </c:cat>
          <c:val>
            <c:numRef>
              <c:f>Sheet1!$B$3:$D$3</c:f>
              <c:numCache>
                <c:formatCode>0.0</c:formatCode>
                <c:ptCount val="3"/>
                <c:pt idx="0" formatCode="General">
                  <c:v>11.9</c:v>
                </c:pt>
                <c:pt idx="1">
                  <c:v>14.5</c:v>
                </c:pt>
                <c:pt idx="2" formatCode="General">
                  <c:v>14</c:v>
                </c:pt>
              </c:numCache>
            </c:numRef>
          </c:val>
        </c:ser>
        <c:axId val="186239232"/>
        <c:axId val="186245120"/>
      </c:barChart>
      <c:catAx>
        <c:axId val="186239232"/>
        <c:scaling>
          <c:orientation val="minMax"/>
        </c:scaling>
        <c:axPos val="l"/>
        <c:numFmt formatCode="General" sourceLinked="1"/>
        <c:tickLblPos val="nextTo"/>
        <c:spPr>
          <a:ln w="2508">
            <a:solidFill>
              <a:srgbClr val="000000"/>
            </a:solidFill>
            <a:prstDash val="solid"/>
          </a:ln>
        </c:spPr>
        <c:txPr>
          <a:bodyPr rot="0" vert="horz"/>
          <a:lstStyle/>
          <a:p>
            <a:pPr>
              <a:defRPr sz="653" b="1" i="0" u="none" strike="noStrike" baseline="0">
                <a:solidFill>
                  <a:srgbClr val="000000"/>
                </a:solidFill>
                <a:latin typeface="Times New Roman"/>
                <a:ea typeface="Times New Roman"/>
                <a:cs typeface="Times New Roman"/>
              </a:defRPr>
            </a:pPr>
            <a:endParaRPr lang="lt-LT"/>
          </a:p>
        </c:txPr>
        <c:crossAx val="186245120"/>
        <c:crosses val="autoZero"/>
        <c:auto val="1"/>
        <c:lblAlgn val="ctr"/>
        <c:lblOffset val="100"/>
        <c:tickLblSkip val="1"/>
        <c:tickMarkSkip val="1"/>
      </c:catAx>
      <c:valAx>
        <c:axId val="186245120"/>
        <c:scaling>
          <c:orientation val="minMax"/>
        </c:scaling>
        <c:axPos val="b"/>
        <c:majorGridlines>
          <c:spPr>
            <a:ln w="10029">
              <a:solidFill>
                <a:srgbClr val="FFFFFF"/>
              </a:solidFill>
              <a:prstDash val="solid"/>
            </a:ln>
          </c:spPr>
        </c:majorGridlines>
        <c:numFmt formatCode="General" sourceLinked="1"/>
        <c:tickLblPos val="nextTo"/>
        <c:txPr>
          <a:bodyPr rot="0" vert="horz"/>
          <a:lstStyle/>
          <a:p>
            <a:pPr>
              <a:defRPr sz="634" b="0"/>
            </a:pPr>
            <a:endParaRPr lang="lt-LT"/>
          </a:p>
        </c:txPr>
        <c:crossAx val="186239232"/>
        <c:crosses val="autoZero"/>
        <c:crossBetween val="between"/>
        <c:majorUnit val="400"/>
      </c:valAx>
      <c:spPr>
        <a:solidFill>
          <a:srgbClr val="C0C0C0"/>
        </a:solidFill>
        <a:ln w="10029">
          <a:solidFill>
            <a:srgbClr val="808080"/>
          </a:solidFill>
          <a:prstDash val="solid"/>
        </a:ln>
      </c:spPr>
    </c:plotArea>
    <c:legend>
      <c:legendPos val="r"/>
      <c:layout>
        <c:manualLayout>
          <c:xMode val="edge"/>
          <c:yMode val="edge"/>
          <c:x val="0.73899373863534179"/>
          <c:y val="0.42068968022596315"/>
          <c:w val="0.19602300496137004"/>
          <c:h val="0.12720522391448447"/>
        </c:manualLayout>
      </c:layout>
      <c:spPr>
        <a:noFill/>
        <a:ln w="2508">
          <a:solidFill>
            <a:srgbClr val="000000"/>
          </a:solidFill>
          <a:prstDash val="solid"/>
        </a:ln>
      </c:spPr>
      <c:txPr>
        <a:bodyPr/>
        <a:lstStyle/>
        <a:p>
          <a:pPr>
            <a:defRPr sz="596"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986" b="1" i="0" u="none" strike="noStrike" baseline="0">
          <a:solidFill>
            <a:srgbClr val="000000"/>
          </a:solidFill>
          <a:latin typeface="Arial"/>
          <a:ea typeface="Arial"/>
          <a:cs typeface="Arial"/>
        </a:defRPr>
      </a:pPr>
      <a:endParaRPr lang="lt-LT"/>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b="1"/>
            </a:pPr>
            <a:r>
              <a:rPr lang="lt-LT" sz="1200" b="1" baseline="0"/>
              <a:t> VAIKŲ IKI 18 METŲ SKAIČIUS RIETAVO SAVIVALDYBĖJE</a:t>
            </a:r>
            <a:endParaRPr lang="en-US" sz="1200" b="1"/>
          </a:p>
        </c:rich>
      </c:tx>
      <c:spPr>
        <a:solidFill>
          <a:schemeClr val="bg1">
            <a:lumMod val="95000"/>
          </a:schemeClr>
        </a:solidFill>
      </c:spPr>
    </c:title>
    <c:plotArea>
      <c:layout>
        <c:manualLayout>
          <c:layoutTarget val="inner"/>
          <c:xMode val="edge"/>
          <c:yMode val="edge"/>
          <c:x val="3.1278571772292006E-2"/>
          <c:y val="0.28326983680611323"/>
          <c:w val="0.94706703238535261"/>
          <c:h val="0.52503760690627954"/>
        </c:manualLayout>
      </c:layout>
      <c:barChart>
        <c:barDir val="col"/>
        <c:grouping val="clustered"/>
        <c:ser>
          <c:idx val="0"/>
          <c:order val="0"/>
          <c:tx>
            <c:strRef>
              <c:f>Sheet1!$B$1</c:f>
              <c:strCache>
                <c:ptCount val="1"/>
                <c:pt idx="0">
                  <c:v>Series 1</c:v>
                </c:pt>
              </c:strCache>
            </c:strRef>
          </c:tx>
          <c:dLbls>
            <c:dLbl>
              <c:idx val="0"/>
              <c:layout>
                <c:manualLayout>
                  <c:x val="-9.6241759299359984E-3"/>
                  <c:y val="0.24092970521541943"/>
                </c:manualLayout>
              </c:layout>
              <c:spPr>
                <a:solidFill>
                  <a:srgbClr val="FFFF00"/>
                </a:solidFill>
              </c:spPr>
              <c:txPr>
                <a:bodyPr/>
                <a:lstStyle/>
                <a:p>
                  <a:pPr>
                    <a:defRPr sz="1200" b="1"/>
                  </a:pPr>
                  <a:endParaRPr lang="lt-LT"/>
                </a:p>
              </c:txPr>
              <c:showVal val="1"/>
            </c:dLbl>
            <c:dLbl>
              <c:idx val="1"/>
              <c:layout>
                <c:manualLayout>
                  <c:x val="2.4060439824839987E-3"/>
                  <c:y val="0.19841269841270098"/>
                </c:manualLayout>
              </c:layout>
              <c:spPr>
                <a:solidFill>
                  <a:srgbClr val="FFFF00"/>
                </a:solidFill>
              </c:spPr>
              <c:txPr>
                <a:bodyPr/>
                <a:lstStyle/>
                <a:p>
                  <a:pPr>
                    <a:defRPr sz="1200" b="1"/>
                  </a:pPr>
                  <a:endParaRPr lang="lt-LT"/>
                </a:p>
              </c:txPr>
              <c:showVal val="1"/>
            </c:dLbl>
            <c:dLbl>
              <c:idx val="2"/>
              <c:layout>
                <c:manualLayout>
                  <c:x val="-2.4060439824839116E-3"/>
                  <c:y val="0.1558956916099774"/>
                </c:manualLayout>
              </c:layout>
              <c:spPr>
                <a:solidFill>
                  <a:srgbClr val="FFFF00"/>
                </a:solidFill>
              </c:spPr>
              <c:txPr>
                <a:bodyPr/>
                <a:lstStyle/>
                <a:p>
                  <a:pPr>
                    <a:defRPr sz="1200" b="1"/>
                  </a:pPr>
                  <a:endParaRPr lang="lt-LT"/>
                </a:p>
              </c:txPr>
              <c:showVal val="1"/>
            </c:dLbl>
            <c:txPr>
              <a:bodyPr/>
              <a:lstStyle/>
              <a:p>
                <a:pPr>
                  <a:defRPr sz="1200" b="1"/>
                </a:pPr>
                <a:endParaRPr lang="lt-LT"/>
              </a:p>
            </c:txPr>
            <c:showVal val="1"/>
          </c:dLbls>
          <c:cat>
            <c:strRef>
              <c:f>Sheet1!$A$2:$A$4</c:f>
              <c:strCache>
                <c:ptCount val="3"/>
                <c:pt idx="0">
                  <c:v>2013 m.</c:v>
                </c:pt>
                <c:pt idx="1">
                  <c:v>2014 m.</c:v>
                </c:pt>
                <c:pt idx="2">
                  <c:v>2015 m. </c:v>
                </c:pt>
              </c:strCache>
            </c:strRef>
          </c:cat>
          <c:val>
            <c:numRef>
              <c:f>Sheet1!$B$2:$B$4</c:f>
              <c:numCache>
                <c:formatCode>General</c:formatCode>
                <c:ptCount val="3"/>
                <c:pt idx="0">
                  <c:v>1631</c:v>
                </c:pt>
                <c:pt idx="1">
                  <c:v>1576</c:v>
                </c:pt>
                <c:pt idx="2">
                  <c:v>1514</c:v>
                </c:pt>
              </c:numCache>
            </c:numRef>
          </c:val>
        </c:ser>
        <c:dLbls>
          <c:showVal val="1"/>
        </c:dLbls>
        <c:overlap val="-25"/>
        <c:axId val="186086144"/>
        <c:axId val="186087680"/>
      </c:barChart>
      <c:catAx>
        <c:axId val="186086144"/>
        <c:scaling>
          <c:orientation val="minMax"/>
        </c:scaling>
        <c:axPos val="b"/>
        <c:majorTickMark val="none"/>
        <c:tickLblPos val="nextTo"/>
        <c:txPr>
          <a:bodyPr/>
          <a:lstStyle/>
          <a:p>
            <a:pPr>
              <a:defRPr sz="1200" b="1"/>
            </a:pPr>
            <a:endParaRPr lang="lt-LT"/>
          </a:p>
        </c:txPr>
        <c:crossAx val="186087680"/>
        <c:crosses val="autoZero"/>
        <c:auto val="1"/>
        <c:lblAlgn val="ctr"/>
        <c:lblOffset val="100"/>
      </c:catAx>
      <c:valAx>
        <c:axId val="186087680"/>
        <c:scaling>
          <c:orientation val="minMax"/>
        </c:scaling>
        <c:delete val="1"/>
        <c:axPos val="l"/>
        <c:numFmt formatCode="General" sourceLinked="1"/>
        <c:majorTickMark val="none"/>
        <c:tickLblPos val="none"/>
        <c:crossAx val="186086144"/>
        <c:crosses val="autoZero"/>
        <c:crossBetween val="between"/>
      </c:valAx>
    </c:plotArea>
    <c:plotVisOnly val="1"/>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baseline="0"/>
              <a:t> </a:t>
            </a:r>
            <a:r>
              <a:rPr lang="lt-LT" sz="1200" baseline="0"/>
              <a:t>PAGRINDINĖS S</a:t>
            </a:r>
            <a:r>
              <a:rPr lang="lt-LT" sz="1200"/>
              <a:t>OCIALINĖS RIZIKOS ŠEIMŲ, AUGINANČIŲ VAIKUS, IDENTIFIKAVIMO PRIEŽASTYS</a:t>
            </a:r>
          </a:p>
        </c:rich>
      </c:tx>
      <c:spPr>
        <a:solidFill>
          <a:schemeClr val="bg1">
            <a:lumMod val="95000"/>
          </a:schemeClr>
        </a:solidFill>
      </c:spPr>
    </c:title>
    <c:plotArea>
      <c:layout/>
      <c:barChart>
        <c:barDir val="col"/>
        <c:grouping val="clustered"/>
        <c:ser>
          <c:idx val="0"/>
          <c:order val="0"/>
          <c:tx>
            <c:strRef>
              <c:f>Sheet1!$B$1</c:f>
              <c:strCache>
                <c:ptCount val="1"/>
                <c:pt idx="0">
                  <c:v>2013 m. 68 šeimos</c:v>
                </c:pt>
              </c:strCache>
            </c:strRef>
          </c:tx>
          <c:cat>
            <c:strRef>
              <c:f>Sheet1!$A$2:$A$5</c:f>
              <c:strCache>
                <c:ptCount val="4"/>
                <c:pt idx="0">
                  <c:v> Girtavimas</c:v>
                </c:pt>
                <c:pt idx="1">
                  <c:v>Socialinių įgūdžių stoka</c:v>
                </c:pt>
                <c:pt idx="2">
                  <c:v>Vaikams nustatyta laikinoji globa (rūpyba)</c:v>
                </c:pt>
                <c:pt idx="3">
                  <c:v>Kitos priežastys</c:v>
                </c:pt>
              </c:strCache>
            </c:strRef>
          </c:cat>
          <c:val>
            <c:numRef>
              <c:f>Sheet1!$B$2:$B$5</c:f>
              <c:numCache>
                <c:formatCode>General</c:formatCode>
                <c:ptCount val="4"/>
                <c:pt idx="0">
                  <c:v>37</c:v>
                </c:pt>
                <c:pt idx="1">
                  <c:v>26</c:v>
                </c:pt>
                <c:pt idx="2">
                  <c:v>1</c:v>
                </c:pt>
                <c:pt idx="3">
                  <c:v>4</c:v>
                </c:pt>
              </c:numCache>
            </c:numRef>
          </c:val>
        </c:ser>
        <c:ser>
          <c:idx val="1"/>
          <c:order val="1"/>
          <c:tx>
            <c:strRef>
              <c:f>Sheet1!$C$1</c:f>
              <c:strCache>
                <c:ptCount val="1"/>
                <c:pt idx="0">
                  <c:v>2014 m. 74 šeimos</c:v>
                </c:pt>
              </c:strCache>
            </c:strRef>
          </c:tx>
          <c:cat>
            <c:strRef>
              <c:f>Sheet1!$A$2:$A$5</c:f>
              <c:strCache>
                <c:ptCount val="4"/>
                <c:pt idx="0">
                  <c:v> Girtavimas</c:v>
                </c:pt>
                <c:pt idx="1">
                  <c:v>Socialinių įgūdžių stoka</c:v>
                </c:pt>
                <c:pt idx="2">
                  <c:v>Vaikams nustatyta laikinoji globa (rūpyba)</c:v>
                </c:pt>
                <c:pt idx="3">
                  <c:v>Kitos priežastys</c:v>
                </c:pt>
              </c:strCache>
            </c:strRef>
          </c:cat>
          <c:val>
            <c:numRef>
              <c:f>Sheet1!$C$2:$C$5</c:f>
              <c:numCache>
                <c:formatCode>General</c:formatCode>
                <c:ptCount val="4"/>
                <c:pt idx="0">
                  <c:v>39</c:v>
                </c:pt>
                <c:pt idx="1">
                  <c:v>29</c:v>
                </c:pt>
                <c:pt idx="2">
                  <c:v>1</c:v>
                </c:pt>
                <c:pt idx="3">
                  <c:v>5</c:v>
                </c:pt>
              </c:numCache>
            </c:numRef>
          </c:val>
        </c:ser>
        <c:ser>
          <c:idx val="2"/>
          <c:order val="2"/>
          <c:tx>
            <c:strRef>
              <c:f>Sheet1!$D$1</c:f>
              <c:strCache>
                <c:ptCount val="1"/>
                <c:pt idx="0">
                  <c:v>2015 m. 74 šeimos</c:v>
                </c:pt>
              </c:strCache>
            </c:strRef>
          </c:tx>
          <c:cat>
            <c:strRef>
              <c:f>Sheet1!$A$2:$A$5</c:f>
              <c:strCache>
                <c:ptCount val="4"/>
                <c:pt idx="0">
                  <c:v> Girtavimas</c:v>
                </c:pt>
                <c:pt idx="1">
                  <c:v>Socialinių įgūdžių stoka</c:v>
                </c:pt>
                <c:pt idx="2">
                  <c:v>Vaikams nustatyta laikinoji globa (rūpyba)</c:v>
                </c:pt>
                <c:pt idx="3">
                  <c:v>Kitos priežastys</c:v>
                </c:pt>
              </c:strCache>
            </c:strRef>
          </c:cat>
          <c:val>
            <c:numRef>
              <c:f>Sheet1!$D$2:$D$5</c:f>
              <c:numCache>
                <c:formatCode>General</c:formatCode>
                <c:ptCount val="4"/>
                <c:pt idx="0">
                  <c:v>31</c:v>
                </c:pt>
                <c:pt idx="1">
                  <c:v>34</c:v>
                </c:pt>
                <c:pt idx="2">
                  <c:v>3</c:v>
                </c:pt>
                <c:pt idx="3">
                  <c:v>6</c:v>
                </c:pt>
              </c:numCache>
            </c:numRef>
          </c:val>
        </c:ser>
        <c:axId val="185437184"/>
        <c:axId val="186192640"/>
      </c:barChart>
      <c:catAx>
        <c:axId val="185437184"/>
        <c:scaling>
          <c:orientation val="minMax"/>
        </c:scaling>
        <c:axPos val="b"/>
        <c:majorTickMark val="none"/>
        <c:tickLblPos val="nextTo"/>
        <c:crossAx val="186192640"/>
        <c:crosses val="autoZero"/>
        <c:auto val="1"/>
        <c:lblAlgn val="ctr"/>
        <c:lblOffset val="100"/>
      </c:catAx>
      <c:valAx>
        <c:axId val="186192640"/>
        <c:scaling>
          <c:orientation val="minMax"/>
        </c:scaling>
        <c:delete val="1"/>
        <c:axPos val="l"/>
        <c:majorGridlines/>
        <c:numFmt formatCode="General" sourceLinked="1"/>
        <c:majorTickMark val="none"/>
        <c:tickLblPos val="none"/>
        <c:crossAx val="185437184"/>
        <c:crosses val="autoZero"/>
        <c:crossBetween val="between"/>
      </c:valAx>
      <c:dTable>
        <c:showHorzBorder val="1"/>
        <c:showVertBorder val="1"/>
        <c:showOutline val="1"/>
        <c:showKeys val="1"/>
        <c:txPr>
          <a:bodyPr/>
          <a:lstStyle/>
          <a:p>
            <a:pPr rtl="0">
              <a:defRPr b="1"/>
            </a:pPr>
            <a:endParaRPr lang="lt-LT"/>
          </a:p>
        </c:txPr>
      </c:dTable>
    </c:plotArea>
    <c:plotVisOnly val="1"/>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a:pPr>
            <a:r>
              <a:rPr lang="lt-LT" sz="1200"/>
              <a:t>SOCIALINĖS RIZIKOS ŠEIMOSE AUGANTYS VAIKAI</a:t>
            </a:r>
          </a:p>
        </c:rich>
      </c:tx>
      <c:spPr>
        <a:solidFill>
          <a:schemeClr val="bg1">
            <a:lumMod val="95000"/>
          </a:schemeClr>
        </a:solidFill>
      </c:spPr>
    </c:title>
    <c:plotArea>
      <c:layout/>
      <c:barChart>
        <c:barDir val="col"/>
        <c:grouping val="clustered"/>
        <c:ser>
          <c:idx val="0"/>
          <c:order val="0"/>
          <c:tx>
            <c:strRef>
              <c:f>Sheet1!$B$1</c:f>
              <c:strCache>
                <c:ptCount val="1"/>
                <c:pt idx="0">
                  <c:v>Column2</c:v>
                </c:pt>
              </c:strCache>
            </c:strRef>
          </c:tx>
          <c:spPr>
            <a:solidFill>
              <a:srgbClr val="FFC000"/>
            </a:solidFill>
          </c:spPr>
          <c:dLbls>
            <c:txPr>
              <a:bodyPr/>
              <a:lstStyle/>
              <a:p>
                <a:pPr>
                  <a:defRPr sz="1200" b="1"/>
                </a:pPr>
                <a:endParaRPr lang="lt-LT"/>
              </a:p>
            </c:txPr>
            <c:dLblPos val="inBase"/>
            <c:showVal val="1"/>
          </c:dLbls>
          <c:cat>
            <c:strRef>
              <c:f>Sheet1!$A$2:$A$4</c:f>
              <c:strCache>
                <c:ptCount val="3"/>
                <c:pt idx="0">
                  <c:v>2013 m.</c:v>
                </c:pt>
                <c:pt idx="1">
                  <c:v>2014 m.</c:v>
                </c:pt>
                <c:pt idx="2">
                  <c:v>2015 m. </c:v>
                </c:pt>
              </c:strCache>
            </c:strRef>
          </c:cat>
          <c:val>
            <c:numRef>
              <c:f>Sheet1!$B$2:$B$4</c:f>
              <c:numCache>
                <c:formatCode>General</c:formatCode>
                <c:ptCount val="3"/>
                <c:pt idx="0">
                  <c:v>158</c:v>
                </c:pt>
                <c:pt idx="1">
                  <c:v>168</c:v>
                </c:pt>
                <c:pt idx="2">
                  <c:v>174</c:v>
                </c:pt>
              </c:numCache>
            </c:numRef>
          </c:val>
        </c:ser>
        <c:axId val="186320768"/>
        <c:axId val="186322304"/>
      </c:barChart>
      <c:catAx>
        <c:axId val="186320768"/>
        <c:scaling>
          <c:orientation val="minMax"/>
        </c:scaling>
        <c:axPos val="b"/>
        <c:majorTickMark val="none"/>
        <c:tickLblPos val="nextTo"/>
        <c:txPr>
          <a:bodyPr/>
          <a:lstStyle/>
          <a:p>
            <a:pPr>
              <a:defRPr sz="1200" b="1"/>
            </a:pPr>
            <a:endParaRPr lang="lt-LT"/>
          </a:p>
        </c:txPr>
        <c:crossAx val="186322304"/>
        <c:crosses val="autoZero"/>
        <c:auto val="1"/>
        <c:lblAlgn val="ctr"/>
        <c:lblOffset val="100"/>
      </c:catAx>
      <c:valAx>
        <c:axId val="186322304"/>
        <c:scaling>
          <c:orientation val="minMax"/>
        </c:scaling>
        <c:delete val="1"/>
        <c:axPos val="l"/>
        <c:majorGridlines/>
        <c:numFmt formatCode="General" sourceLinked="1"/>
        <c:majorTickMark val="none"/>
        <c:tickLblPos val="none"/>
        <c:crossAx val="186320768"/>
        <c:crosses val="autoZero"/>
        <c:crossBetween val="between"/>
      </c:valAx>
    </c:plotArea>
    <c:plotVisOnly val="1"/>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SOCIALINĖS RIZIKOS POŽYMIŲ</a:t>
            </a:r>
            <a:r>
              <a:rPr lang="lt-LT" sz="1200" baseline="0"/>
              <a:t> TURINČIOS ŠEIMOS, AUGINANČIOS VAIKUS (per metus) </a:t>
            </a:r>
            <a:endParaRPr lang="lt-LT" sz="1200"/>
          </a:p>
        </c:rich>
      </c:tx>
      <c:spPr>
        <a:solidFill>
          <a:schemeClr val="bg1">
            <a:lumMod val="95000"/>
          </a:schemeClr>
        </a:solidFill>
      </c:spPr>
    </c:title>
    <c:plotArea>
      <c:layout/>
      <c:barChart>
        <c:barDir val="col"/>
        <c:grouping val="clustered"/>
        <c:ser>
          <c:idx val="0"/>
          <c:order val="0"/>
          <c:tx>
            <c:strRef>
              <c:f>Sheet1!$B$1</c:f>
              <c:strCache>
                <c:ptCount val="1"/>
                <c:pt idx="0">
                  <c:v>Šeimų skaičius</c:v>
                </c:pt>
              </c:strCache>
            </c:strRef>
          </c:tx>
          <c:dLbls>
            <c:dLbl>
              <c:idx val="0"/>
              <c:layout>
                <c:manualLayout>
                  <c:x val="1.0706097610108513E-17"/>
                  <c:y val="0.15838206627680321"/>
                </c:manualLayout>
              </c:layout>
              <c:showVal val="1"/>
            </c:dLbl>
            <c:dLbl>
              <c:idx val="1"/>
              <c:layout>
                <c:manualLayout>
                  <c:x val="2.3359028264424201E-3"/>
                  <c:y val="0.16447368421052633"/>
                </c:manualLayout>
              </c:layout>
              <c:showVal val="1"/>
            </c:dLbl>
            <c:dLbl>
              <c:idx val="2"/>
              <c:layout>
                <c:manualLayout>
                  <c:x val="0"/>
                  <c:y val="0.12183235867446388"/>
                </c:manualLayout>
              </c:layout>
              <c:showVal val="1"/>
            </c:dLbl>
            <c:txPr>
              <a:bodyPr/>
              <a:lstStyle/>
              <a:p>
                <a:pPr>
                  <a:defRPr sz="1200" b="1"/>
                </a:pPr>
                <a:endParaRPr lang="lt-LT"/>
              </a:p>
            </c:txPr>
            <c:showVal val="1"/>
          </c:dLbls>
          <c:cat>
            <c:strRef>
              <c:f>Sheet1!$A$2:$A$4</c:f>
              <c:strCache>
                <c:ptCount val="3"/>
                <c:pt idx="0">
                  <c:v>2013 m.</c:v>
                </c:pt>
                <c:pt idx="1">
                  <c:v>2014 m.</c:v>
                </c:pt>
                <c:pt idx="2">
                  <c:v>2015 m.</c:v>
                </c:pt>
              </c:strCache>
            </c:strRef>
          </c:cat>
          <c:val>
            <c:numRef>
              <c:f>Sheet1!$B$2:$B$4</c:f>
              <c:numCache>
                <c:formatCode>General</c:formatCode>
                <c:ptCount val="3"/>
                <c:pt idx="0">
                  <c:v>3</c:v>
                </c:pt>
                <c:pt idx="1">
                  <c:v>4</c:v>
                </c:pt>
                <c:pt idx="2">
                  <c:v>2</c:v>
                </c:pt>
              </c:numCache>
            </c:numRef>
          </c:val>
        </c:ser>
        <c:ser>
          <c:idx val="1"/>
          <c:order val="1"/>
          <c:tx>
            <c:strRef>
              <c:f>Sheet1!$C$1</c:f>
              <c:strCache>
                <c:ptCount val="1"/>
                <c:pt idx="0">
                  <c:v>Vaikų skaičius</c:v>
                </c:pt>
              </c:strCache>
            </c:strRef>
          </c:tx>
          <c:dLbls>
            <c:dLbl>
              <c:idx val="0"/>
              <c:layout>
                <c:manualLayout>
                  <c:x val="4.6718056528849104E-3"/>
                  <c:y val="0.17665692007797271"/>
                </c:manualLayout>
              </c:layout>
              <c:showVal val="1"/>
            </c:dLbl>
            <c:dLbl>
              <c:idx val="1"/>
              <c:layout>
                <c:manualLayout>
                  <c:x val="-4.6718056528848514E-3"/>
                  <c:y val="0.17665692007797271"/>
                </c:manualLayout>
              </c:layout>
              <c:showVal val="1"/>
            </c:dLbl>
            <c:dLbl>
              <c:idx val="2"/>
              <c:layout>
                <c:manualLayout>
                  <c:x val="4.6718056528848514E-3"/>
                  <c:y val="0.15229044834308159"/>
                </c:manualLayout>
              </c:layout>
              <c:showVal val="1"/>
            </c:dLbl>
            <c:txPr>
              <a:bodyPr/>
              <a:lstStyle/>
              <a:p>
                <a:pPr>
                  <a:defRPr sz="1200" b="1"/>
                </a:pPr>
                <a:endParaRPr lang="lt-LT"/>
              </a:p>
            </c:txPr>
            <c:showVal val="1"/>
          </c:dLbls>
          <c:cat>
            <c:strRef>
              <c:f>Sheet1!$A$2:$A$4</c:f>
              <c:strCache>
                <c:ptCount val="3"/>
                <c:pt idx="0">
                  <c:v>2013 m.</c:v>
                </c:pt>
                <c:pt idx="1">
                  <c:v>2014 m.</c:v>
                </c:pt>
                <c:pt idx="2">
                  <c:v>2015 m.</c:v>
                </c:pt>
              </c:strCache>
            </c:strRef>
          </c:cat>
          <c:val>
            <c:numRef>
              <c:f>Sheet1!$C$2:$C$4</c:f>
              <c:numCache>
                <c:formatCode>General</c:formatCode>
                <c:ptCount val="3"/>
                <c:pt idx="0">
                  <c:v>6</c:v>
                </c:pt>
                <c:pt idx="1">
                  <c:v>7</c:v>
                </c:pt>
                <c:pt idx="2">
                  <c:v>4</c:v>
                </c:pt>
              </c:numCache>
            </c:numRef>
          </c:val>
        </c:ser>
        <c:gapWidth val="75"/>
        <c:overlap val="-25"/>
        <c:axId val="186347904"/>
        <c:axId val="186349440"/>
      </c:barChart>
      <c:catAx>
        <c:axId val="186347904"/>
        <c:scaling>
          <c:orientation val="minMax"/>
        </c:scaling>
        <c:axPos val="b"/>
        <c:majorTickMark val="none"/>
        <c:tickLblPos val="nextTo"/>
        <c:txPr>
          <a:bodyPr/>
          <a:lstStyle/>
          <a:p>
            <a:pPr>
              <a:defRPr sz="1200" b="1"/>
            </a:pPr>
            <a:endParaRPr lang="lt-LT"/>
          </a:p>
        </c:txPr>
        <c:crossAx val="186349440"/>
        <c:crosses val="autoZero"/>
        <c:auto val="1"/>
        <c:lblAlgn val="ctr"/>
        <c:lblOffset val="100"/>
      </c:catAx>
      <c:valAx>
        <c:axId val="186349440"/>
        <c:scaling>
          <c:orientation val="minMax"/>
        </c:scaling>
        <c:axPos val="l"/>
        <c:majorGridlines/>
        <c:numFmt formatCode="General" sourceLinked="1"/>
        <c:majorTickMark val="none"/>
        <c:tickLblPos val="none"/>
        <c:spPr>
          <a:ln w="9525">
            <a:noFill/>
          </a:ln>
        </c:spPr>
        <c:crossAx val="186347904"/>
        <c:crosses val="autoZero"/>
        <c:crossBetween val="between"/>
      </c:valAx>
    </c:plotArea>
    <c:legend>
      <c:legendPos val="b"/>
      <c:txPr>
        <a:bodyPr/>
        <a:lstStyle/>
        <a:p>
          <a:pPr>
            <a:defRPr sz="1200" b="1"/>
          </a:pPr>
          <a:endParaRPr lang="lt-LT"/>
        </a:p>
      </c:txPr>
    </c:legend>
    <c:plotVisOnly val="1"/>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baseline="0"/>
              <a:t> VADOVAUJANTIS VAIKO TEISIŲ APSAUGOS SPAGRINDŲ ĮSTATYMO 56 STR., LAIKINAI IŠ ŠEIMOS PAIIMTI VAIKAI</a:t>
            </a:r>
            <a:endParaRPr lang="lt-LT" sz="1200"/>
          </a:p>
        </c:rich>
      </c:tx>
      <c:spPr>
        <a:solidFill>
          <a:schemeClr val="bg1">
            <a:lumMod val="95000"/>
          </a:schemeClr>
        </a:solidFill>
      </c:spPr>
    </c:title>
    <c:plotArea>
      <c:layout/>
      <c:barChart>
        <c:barDir val="col"/>
        <c:grouping val="clustered"/>
        <c:ser>
          <c:idx val="0"/>
          <c:order val="0"/>
          <c:tx>
            <c:strRef>
              <c:f>Sheet1!$B$1</c:f>
              <c:strCache>
                <c:ptCount val="1"/>
                <c:pt idx="0">
                  <c:v>Column3</c:v>
                </c:pt>
              </c:strCache>
            </c:strRef>
          </c:tx>
          <c:spPr>
            <a:solidFill>
              <a:srgbClr val="FFC000"/>
            </a:solidFill>
          </c:spPr>
          <c:dLbls>
            <c:dLbl>
              <c:idx val="0"/>
              <c:layout>
                <c:manualLayout>
                  <c:x val="0"/>
                  <c:y val="0.15191460347950078"/>
                </c:manualLayout>
              </c:layout>
              <c:dLblPos val="outEnd"/>
              <c:showVal val="1"/>
            </c:dLbl>
            <c:dLbl>
              <c:idx val="2"/>
              <c:layout>
                <c:manualLayout>
                  <c:x val="0"/>
                  <c:y val="0.16198265916372354"/>
                </c:manualLayout>
              </c:layout>
              <c:dLblPos val="outEnd"/>
              <c:showVal val="1"/>
            </c:dLbl>
            <c:txPr>
              <a:bodyPr/>
              <a:lstStyle/>
              <a:p>
                <a:pPr>
                  <a:defRPr sz="1200" b="1"/>
                </a:pPr>
                <a:endParaRPr lang="lt-LT"/>
              </a:p>
            </c:txPr>
            <c:dLblPos val="inBase"/>
            <c:showVal val="1"/>
          </c:dLbls>
          <c:cat>
            <c:strRef>
              <c:f>Sheet1!$A$2:$A$4</c:f>
              <c:strCache>
                <c:ptCount val="3"/>
                <c:pt idx="0">
                  <c:v>2013 m.</c:v>
                </c:pt>
                <c:pt idx="1">
                  <c:v>2014 m.</c:v>
                </c:pt>
                <c:pt idx="2">
                  <c:v>2015 m.</c:v>
                </c:pt>
              </c:strCache>
            </c:strRef>
          </c:cat>
          <c:val>
            <c:numRef>
              <c:f>Sheet1!$B$2:$B$4</c:f>
              <c:numCache>
                <c:formatCode>General</c:formatCode>
                <c:ptCount val="3"/>
                <c:pt idx="0">
                  <c:v>5</c:v>
                </c:pt>
                <c:pt idx="1">
                  <c:v>15</c:v>
                </c:pt>
                <c:pt idx="2">
                  <c:v>6</c:v>
                </c:pt>
              </c:numCache>
            </c:numRef>
          </c:val>
        </c:ser>
        <c:axId val="186369920"/>
        <c:axId val="186371456"/>
      </c:barChart>
      <c:catAx>
        <c:axId val="186369920"/>
        <c:scaling>
          <c:orientation val="minMax"/>
        </c:scaling>
        <c:axPos val="b"/>
        <c:majorTickMark val="none"/>
        <c:tickLblPos val="nextTo"/>
        <c:txPr>
          <a:bodyPr/>
          <a:lstStyle/>
          <a:p>
            <a:pPr>
              <a:defRPr sz="1200" b="1"/>
            </a:pPr>
            <a:endParaRPr lang="lt-LT"/>
          </a:p>
        </c:txPr>
        <c:crossAx val="186371456"/>
        <c:crosses val="autoZero"/>
        <c:auto val="1"/>
        <c:lblAlgn val="ctr"/>
        <c:lblOffset val="100"/>
      </c:catAx>
      <c:valAx>
        <c:axId val="186371456"/>
        <c:scaling>
          <c:orientation val="minMax"/>
        </c:scaling>
        <c:delete val="1"/>
        <c:axPos val="l"/>
        <c:majorGridlines/>
        <c:numFmt formatCode="General" sourceLinked="1"/>
        <c:majorTickMark val="none"/>
        <c:tickLblPos val="none"/>
        <c:crossAx val="186369920"/>
        <c:crosses val="autoZero"/>
        <c:crossBetween val="between"/>
      </c:valAx>
    </c:plotArea>
    <c:plotVisOnly val="1"/>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LIKĘ</a:t>
            </a:r>
            <a:r>
              <a:rPr lang="lt-LT" sz="1200" baseline="0"/>
              <a:t> BE TĖVŲ GLOBOS (RŪPYBOS) VAIKAI</a:t>
            </a:r>
            <a:endParaRPr lang="lt-LT" sz="1200"/>
          </a:p>
        </c:rich>
      </c:tx>
      <c:spPr>
        <a:solidFill>
          <a:schemeClr val="bg1">
            <a:lumMod val="95000"/>
          </a:schemeClr>
        </a:solidFill>
      </c:spPr>
    </c:title>
    <c:plotArea>
      <c:layout/>
      <c:barChart>
        <c:barDir val="col"/>
        <c:grouping val="clustered"/>
        <c:ser>
          <c:idx val="0"/>
          <c:order val="0"/>
          <c:tx>
            <c:strRef>
              <c:f>Sheet1!$B$1</c:f>
              <c:strCache>
                <c:ptCount val="1"/>
                <c:pt idx="0">
                  <c:v> Šeimoje globojami (rūpinami) vaikai</c:v>
                </c:pt>
              </c:strCache>
            </c:strRef>
          </c:tx>
          <c:cat>
            <c:strRef>
              <c:f>Sheet1!$A$2:$A$4</c:f>
              <c:strCache>
                <c:ptCount val="3"/>
                <c:pt idx="0">
                  <c:v>2013 m.</c:v>
                </c:pt>
                <c:pt idx="1">
                  <c:v>2014 m.</c:v>
                </c:pt>
                <c:pt idx="2">
                  <c:v>2015 m.</c:v>
                </c:pt>
              </c:strCache>
            </c:strRef>
          </c:cat>
          <c:val>
            <c:numRef>
              <c:f>Sheet1!$B$2:$B$4</c:f>
              <c:numCache>
                <c:formatCode>General</c:formatCode>
                <c:ptCount val="3"/>
                <c:pt idx="0">
                  <c:v>18</c:v>
                </c:pt>
                <c:pt idx="1">
                  <c:v>19</c:v>
                </c:pt>
                <c:pt idx="2">
                  <c:v>15</c:v>
                </c:pt>
              </c:numCache>
            </c:numRef>
          </c:val>
        </c:ser>
        <c:ser>
          <c:idx val="1"/>
          <c:order val="1"/>
          <c:tx>
            <c:strRef>
              <c:f>Sheet1!$C$1</c:f>
              <c:strCache>
                <c:ptCount val="1"/>
                <c:pt idx="0">
                  <c:v>Institucijose globojami (rūpinami) vaikai</c:v>
                </c:pt>
              </c:strCache>
            </c:strRef>
          </c:tx>
          <c:cat>
            <c:strRef>
              <c:f>Sheet1!$A$2:$A$4</c:f>
              <c:strCache>
                <c:ptCount val="3"/>
                <c:pt idx="0">
                  <c:v>2013 m.</c:v>
                </c:pt>
                <c:pt idx="1">
                  <c:v>2014 m.</c:v>
                </c:pt>
                <c:pt idx="2">
                  <c:v>2015 m.</c:v>
                </c:pt>
              </c:strCache>
            </c:strRef>
          </c:cat>
          <c:val>
            <c:numRef>
              <c:f>Sheet1!$C$2:$C$4</c:f>
              <c:numCache>
                <c:formatCode>General</c:formatCode>
                <c:ptCount val="3"/>
                <c:pt idx="0">
                  <c:v>4</c:v>
                </c:pt>
                <c:pt idx="1">
                  <c:v>3</c:v>
                </c:pt>
                <c:pt idx="2">
                  <c:v>5</c:v>
                </c:pt>
              </c:numCache>
            </c:numRef>
          </c:val>
        </c:ser>
        <c:ser>
          <c:idx val="2"/>
          <c:order val="2"/>
          <c:tx>
            <c:strRef>
              <c:f>Sheet1!$D$1</c:f>
              <c:strCache>
                <c:ptCount val="1"/>
                <c:pt idx="0">
                  <c:v>Kūdikių namuose globojami vaikai</c:v>
                </c:pt>
              </c:strCache>
            </c:strRef>
          </c:tx>
          <c:cat>
            <c:strRef>
              <c:f>Sheet1!$A$2:$A$4</c:f>
              <c:strCache>
                <c:ptCount val="3"/>
                <c:pt idx="0">
                  <c:v>2013 m.</c:v>
                </c:pt>
                <c:pt idx="1">
                  <c:v>2014 m.</c:v>
                </c:pt>
                <c:pt idx="2">
                  <c:v>2015 m.</c:v>
                </c:pt>
              </c:strCache>
            </c:strRef>
          </c:cat>
          <c:val>
            <c:numRef>
              <c:f>Sheet1!$D$2:$D$4</c:f>
              <c:numCache>
                <c:formatCode>General</c:formatCode>
                <c:ptCount val="3"/>
                <c:pt idx="0">
                  <c:v>2</c:v>
                </c:pt>
                <c:pt idx="1">
                  <c:v>1</c:v>
                </c:pt>
                <c:pt idx="2">
                  <c:v>1</c:v>
                </c:pt>
              </c:numCache>
            </c:numRef>
          </c:val>
        </c:ser>
        <c:axId val="187190656"/>
        <c:axId val="187192448"/>
      </c:barChart>
      <c:catAx>
        <c:axId val="187190656"/>
        <c:scaling>
          <c:orientation val="minMax"/>
        </c:scaling>
        <c:axPos val="b"/>
        <c:majorTickMark val="none"/>
        <c:tickLblPos val="nextTo"/>
        <c:crossAx val="187192448"/>
        <c:crosses val="autoZero"/>
        <c:auto val="1"/>
        <c:lblAlgn val="ctr"/>
        <c:lblOffset val="100"/>
      </c:catAx>
      <c:valAx>
        <c:axId val="187192448"/>
        <c:scaling>
          <c:orientation val="minMax"/>
        </c:scaling>
        <c:axPos val="l"/>
        <c:majorGridlines/>
        <c:numFmt formatCode="General" sourceLinked="1"/>
        <c:majorTickMark val="none"/>
        <c:tickLblPos val="nextTo"/>
        <c:crossAx val="187190656"/>
        <c:crosses val="autoZero"/>
        <c:crossBetween val="between"/>
      </c:valAx>
      <c:dTable>
        <c:showHorzBorder val="1"/>
        <c:showVertBorder val="1"/>
        <c:showOutline val="1"/>
        <c:showKeys val="1"/>
        <c:txPr>
          <a:bodyPr/>
          <a:lstStyle/>
          <a:p>
            <a:pPr rtl="0">
              <a:defRPr sz="1000" b="1"/>
            </a:pPr>
            <a:endParaRPr lang="lt-LT"/>
          </a:p>
        </c:txPr>
      </c:dTable>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Times New Roman"/>
                <a:ea typeface="Times New Roman"/>
                <a:cs typeface="Times New Roman"/>
              </a:defRPr>
            </a:pPr>
            <a:r>
              <a:rPr lang="lt-LT"/>
              <a:t>Mirusiųjų amžiaus vidurkis</a:t>
            </a:r>
          </a:p>
        </c:rich>
      </c:tx>
      <c:layout>
        <c:manualLayout>
          <c:xMode val="edge"/>
          <c:yMode val="edge"/>
          <c:x val="0.26288659793814989"/>
          <c:y val="2.1582733812949641E-2"/>
        </c:manualLayout>
      </c:layout>
      <c:spPr>
        <a:noFill/>
        <a:ln w="25399">
          <a:noFill/>
        </a:ln>
      </c:spPr>
    </c:title>
    <c:plotArea>
      <c:layout>
        <c:manualLayout>
          <c:layoutTarget val="inner"/>
          <c:xMode val="edge"/>
          <c:yMode val="edge"/>
          <c:x val="0.16494845360824878"/>
          <c:y val="0.32014388489208917"/>
          <c:w val="0.80927835051546393"/>
          <c:h val="0.43165467625899567"/>
        </c:manualLayout>
      </c:layout>
      <c:barChart>
        <c:barDir val="col"/>
        <c:grouping val="clustered"/>
        <c:ser>
          <c:idx val="0"/>
          <c:order val="0"/>
          <c:tx>
            <c:strRef>
              <c:f>Sheet1!$A$2</c:f>
              <c:strCache>
                <c:ptCount val="1"/>
                <c:pt idx="0">
                  <c:v>Vyrai</c:v>
                </c:pt>
              </c:strCache>
            </c:strRef>
          </c:tx>
          <c:spPr>
            <a:solidFill>
              <a:srgbClr val="9999FF"/>
            </a:solidFill>
            <a:ln w="12699">
              <a:solidFill>
                <a:srgbClr val="000000"/>
              </a:solidFill>
              <a:prstDash val="solid"/>
            </a:ln>
          </c:spPr>
          <c:dLbls>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Sheet1!$B$2:$D$2</c:f>
              <c:numCache>
                <c:formatCode>General</c:formatCode>
                <c:ptCount val="3"/>
                <c:pt idx="0">
                  <c:v>71</c:v>
                </c:pt>
                <c:pt idx="1">
                  <c:v>69.5</c:v>
                </c:pt>
                <c:pt idx="2">
                  <c:v>66.3</c:v>
                </c:pt>
              </c:numCache>
            </c:numRef>
          </c:val>
        </c:ser>
        <c:ser>
          <c:idx val="1"/>
          <c:order val="1"/>
          <c:tx>
            <c:strRef>
              <c:f>Sheet1!$A$3</c:f>
              <c:strCache>
                <c:ptCount val="1"/>
                <c:pt idx="0">
                  <c:v>Moterys</c:v>
                </c:pt>
              </c:strCache>
            </c:strRef>
          </c:tx>
          <c:spPr>
            <a:solidFill>
              <a:srgbClr val="993366"/>
            </a:solidFill>
            <a:ln w="12699">
              <a:solidFill>
                <a:srgbClr val="000000"/>
              </a:solidFill>
              <a:prstDash val="solid"/>
            </a:ln>
          </c:spPr>
          <c:dLbls>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Val val="1"/>
          </c:dLbls>
          <c:cat>
            <c:numRef>
              <c:f>Sheet1!$B$1:$D$1</c:f>
              <c:numCache>
                <c:formatCode>General</c:formatCode>
                <c:ptCount val="3"/>
                <c:pt idx="0">
                  <c:v>2013</c:v>
                </c:pt>
                <c:pt idx="1">
                  <c:v>2014</c:v>
                </c:pt>
                <c:pt idx="2">
                  <c:v>2015</c:v>
                </c:pt>
              </c:numCache>
            </c:numRef>
          </c:cat>
          <c:val>
            <c:numRef>
              <c:f>Sheet1!$B$3:$D$3</c:f>
              <c:numCache>
                <c:formatCode>General</c:formatCode>
                <c:ptCount val="3"/>
                <c:pt idx="0">
                  <c:v>78.2</c:v>
                </c:pt>
                <c:pt idx="1">
                  <c:v>79.400000000000006</c:v>
                </c:pt>
                <c:pt idx="2">
                  <c:v>79.400000000000006</c:v>
                </c:pt>
              </c:numCache>
            </c:numRef>
          </c:val>
        </c:ser>
        <c:dLbls>
          <c:showVal val="1"/>
        </c:dLbls>
        <c:axId val="168861696"/>
        <c:axId val="168863616"/>
      </c:barChart>
      <c:catAx>
        <c:axId val="168861696"/>
        <c:scaling>
          <c:orientation val="minMax"/>
        </c:scaling>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52577319587628857"/>
              <c:y val="0.86330935251799135"/>
            </c:manualLayout>
          </c:layout>
          <c:spPr>
            <a:noFill/>
            <a:ln w="25399">
              <a:noFill/>
            </a:ln>
          </c:spPr>
        </c:title>
        <c:numFmt formatCode="General" sourceLinked="1"/>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168863616"/>
        <c:crosses val="autoZero"/>
        <c:auto val="1"/>
        <c:lblAlgn val="ctr"/>
        <c:lblOffset val="100"/>
        <c:tickLblSkip val="1"/>
        <c:tickMarkSkip val="1"/>
      </c:catAx>
      <c:valAx>
        <c:axId val="168863616"/>
        <c:scaling>
          <c:orientation val="minMax"/>
        </c:scaling>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a:ea typeface="Times New Roman"/>
                    <a:cs typeface="Times New Roman"/>
                  </a:defRPr>
                </a:pPr>
                <a:r>
                  <a:rPr lang="lt-LT"/>
                  <a:t>amžius</a:t>
                </a:r>
              </a:p>
            </c:rich>
          </c:tx>
          <c:layout>
            <c:manualLayout>
              <c:xMode val="edge"/>
              <c:yMode val="edge"/>
              <c:x val="3.8659793814432991E-2"/>
              <c:y val="0.46043165467625879"/>
            </c:manualLayout>
          </c:layout>
          <c:spPr>
            <a:noFill/>
            <a:ln w="25399">
              <a:noFill/>
            </a:ln>
          </c:spPr>
        </c:title>
        <c:numFmt formatCode="General" sourceLinked="1"/>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168861696"/>
        <c:crosses val="autoZero"/>
        <c:crossBetween val="between"/>
      </c:valAx>
      <c:spPr>
        <a:solidFill>
          <a:srgbClr val="FFFFFF"/>
        </a:solidFill>
        <a:ln w="12699">
          <a:solidFill>
            <a:srgbClr val="FFFFFF"/>
          </a:solidFill>
          <a:prstDash val="solid"/>
        </a:ln>
      </c:spPr>
    </c:plotArea>
    <c:legend>
      <c:legendPos val="t"/>
      <c:layout>
        <c:manualLayout>
          <c:xMode val="edge"/>
          <c:yMode val="edge"/>
          <c:x val="0.42010309278350516"/>
          <c:y val="0.17266187050359713"/>
          <c:w val="0.29639175257731959"/>
          <c:h val="8.6330935251798552E-2"/>
        </c:manualLayout>
      </c:layout>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chart>
  <c:spPr>
    <a:noFill/>
    <a:ln>
      <a:noFill/>
    </a:ln>
  </c:spPr>
  <c:txPr>
    <a:bodyPr/>
    <a:lstStyle/>
    <a:p>
      <a:pPr>
        <a:defRPr sz="1125" b="1" i="0" u="none" strike="noStrike" baseline="0">
          <a:solidFill>
            <a:srgbClr val="000000"/>
          </a:solidFill>
          <a:latin typeface="Arial"/>
          <a:ea typeface="Arial"/>
          <a:cs typeface="Arial"/>
        </a:defRPr>
      </a:pPr>
      <a:endParaRPr lang="lt-LT"/>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GLOBĖJŲ</a:t>
            </a:r>
            <a:r>
              <a:rPr lang="lt-LT" sz="1200" baseline="0"/>
              <a:t> (RŪPINTOJŲ) GLOBOJAMŲ VAIKŲ SKAIČIUS </a:t>
            </a:r>
          </a:p>
          <a:p>
            <a:pPr>
              <a:defRPr/>
            </a:pPr>
            <a:r>
              <a:rPr lang="lt-LT" sz="1200" baseline="0"/>
              <a:t>IR GIMINYSTĖS RYŠYS </a:t>
            </a:r>
            <a:endParaRPr lang="lt-LT" sz="1200"/>
          </a:p>
        </c:rich>
      </c:tx>
      <c:layout>
        <c:manualLayout>
          <c:xMode val="edge"/>
          <c:yMode val="edge"/>
          <c:x val="0.17386367381587564"/>
          <c:y val="2.3809452247577422E-2"/>
        </c:manualLayout>
      </c:layout>
      <c:spPr>
        <a:solidFill>
          <a:schemeClr val="bg1">
            <a:lumMod val="95000"/>
          </a:schemeClr>
        </a:solidFill>
      </c:spPr>
    </c:title>
    <c:plotArea>
      <c:layout/>
      <c:barChart>
        <c:barDir val="col"/>
        <c:grouping val="clustered"/>
        <c:ser>
          <c:idx val="0"/>
          <c:order val="0"/>
          <c:tx>
            <c:strRef>
              <c:f>Sheet1!$B$1</c:f>
              <c:strCache>
                <c:ptCount val="1"/>
                <c:pt idx="0">
                  <c:v> Seneliai</c:v>
                </c:pt>
              </c:strCache>
            </c:strRef>
          </c:tx>
          <c:cat>
            <c:strRef>
              <c:f>Sheet1!$A$2:$A$4</c:f>
              <c:strCache>
                <c:ptCount val="3"/>
                <c:pt idx="0">
                  <c:v>2013 m. </c:v>
                </c:pt>
                <c:pt idx="1">
                  <c:v>2014 m.</c:v>
                </c:pt>
                <c:pt idx="2">
                  <c:v>2015 m.</c:v>
                </c:pt>
              </c:strCache>
            </c:strRef>
          </c:cat>
          <c:val>
            <c:numRef>
              <c:f>Sheet1!$B$2:$B$4</c:f>
              <c:numCache>
                <c:formatCode>General</c:formatCode>
                <c:ptCount val="3"/>
                <c:pt idx="0">
                  <c:v>7</c:v>
                </c:pt>
                <c:pt idx="1">
                  <c:v>11</c:v>
                </c:pt>
                <c:pt idx="2">
                  <c:v>8</c:v>
                </c:pt>
              </c:numCache>
            </c:numRef>
          </c:val>
        </c:ser>
        <c:ser>
          <c:idx val="1"/>
          <c:order val="1"/>
          <c:tx>
            <c:strRef>
              <c:f>Sheet1!$C$1</c:f>
              <c:strCache>
                <c:ptCount val="1"/>
                <c:pt idx="0">
                  <c:v>Sesuo/brolis</c:v>
                </c:pt>
              </c:strCache>
            </c:strRef>
          </c:tx>
          <c:cat>
            <c:strRef>
              <c:f>Sheet1!$A$2:$A$4</c:f>
              <c:strCache>
                <c:ptCount val="3"/>
                <c:pt idx="0">
                  <c:v>2013 m. </c:v>
                </c:pt>
                <c:pt idx="1">
                  <c:v>2014 m.</c:v>
                </c:pt>
                <c:pt idx="2">
                  <c:v>2015 m.</c:v>
                </c:pt>
              </c:strCache>
            </c:strRef>
          </c:cat>
          <c:val>
            <c:numRef>
              <c:f>Sheet1!$C$2:$C$4</c:f>
              <c:numCache>
                <c:formatCode>General</c:formatCode>
                <c:ptCount val="3"/>
                <c:pt idx="0">
                  <c:v>2</c:v>
                </c:pt>
                <c:pt idx="1">
                  <c:v>3</c:v>
                </c:pt>
                <c:pt idx="2">
                  <c:v>4</c:v>
                </c:pt>
              </c:numCache>
            </c:numRef>
          </c:val>
        </c:ser>
        <c:ser>
          <c:idx val="2"/>
          <c:order val="2"/>
          <c:tx>
            <c:strRef>
              <c:f>Sheet1!$D$1</c:f>
              <c:strCache>
                <c:ptCount val="1"/>
                <c:pt idx="0">
                  <c:v>Teta /dėdė</c:v>
                </c:pt>
              </c:strCache>
            </c:strRef>
          </c:tx>
          <c:cat>
            <c:strRef>
              <c:f>Sheet1!$A$2:$A$4</c:f>
              <c:strCache>
                <c:ptCount val="3"/>
                <c:pt idx="0">
                  <c:v>2013 m. </c:v>
                </c:pt>
                <c:pt idx="1">
                  <c:v>2014 m.</c:v>
                </c:pt>
                <c:pt idx="2">
                  <c:v>2015 m.</c:v>
                </c:pt>
              </c:strCache>
            </c:strRef>
          </c:cat>
          <c:val>
            <c:numRef>
              <c:f>Sheet1!$D$2:$D$4</c:f>
              <c:numCache>
                <c:formatCode>General</c:formatCode>
                <c:ptCount val="3"/>
                <c:pt idx="0">
                  <c:v>3</c:v>
                </c:pt>
                <c:pt idx="1">
                  <c:v>1</c:v>
                </c:pt>
                <c:pt idx="2">
                  <c:v>2</c:v>
                </c:pt>
              </c:numCache>
            </c:numRef>
          </c:val>
        </c:ser>
        <c:ser>
          <c:idx val="3"/>
          <c:order val="3"/>
          <c:tx>
            <c:strRef>
              <c:f>Sheet1!$E$1</c:f>
              <c:strCache>
                <c:ptCount val="1"/>
                <c:pt idx="0">
                  <c:v>Vaiko globėju (rūpintoju) tapo kitas asmuo (negiminaitis)</c:v>
                </c:pt>
              </c:strCache>
            </c:strRef>
          </c:tx>
          <c:cat>
            <c:strRef>
              <c:f>Sheet1!$A$2:$A$4</c:f>
              <c:strCache>
                <c:ptCount val="3"/>
                <c:pt idx="0">
                  <c:v>2013 m. </c:v>
                </c:pt>
                <c:pt idx="1">
                  <c:v>2014 m.</c:v>
                </c:pt>
                <c:pt idx="2">
                  <c:v>2015 m.</c:v>
                </c:pt>
              </c:strCache>
            </c:strRef>
          </c:cat>
          <c:val>
            <c:numRef>
              <c:f>Sheet1!$E$2:$E$4</c:f>
              <c:numCache>
                <c:formatCode>General</c:formatCode>
                <c:ptCount val="3"/>
                <c:pt idx="0">
                  <c:v>5</c:v>
                </c:pt>
                <c:pt idx="1">
                  <c:v>4</c:v>
                </c:pt>
                <c:pt idx="2">
                  <c:v>1</c:v>
                </c:pt>
              </c:numCache>
            </c:numRef>
          </c:val>
        </c:ser>
        <c:axId val="186491264"/>
        <c:axId val="186492800"/>
      </c:barChart>
      <c:catAx>
        <c:axId val="186491264"/>
        <c:scaling>
          <c:orientation val="minMax"/>
        </c:scaling>
        <c:axPos val="b"/>
        <c:majorTickMark val="none"/>
        <c:tickLblPos val="nextTo"/>
        <c:crossAx val="186492800"/>
        <c:crosses val="autoZero"/>
        <c:auto val="1"/>
        <c:lblAlgn val="ctr"/>
        <c:lblOffset val="100"/>
      </c:catAx>
      <c:valAx>
        <c:axId val="186492800"/>
        <c:scaling>
          <c:orientation val="minMax"/>
        </c:scaling>
        <c:axPos val="l"/>
        <c:majorGridlines/>
        <c:numFmt formatCode="General" sourceLinked="1"/>
        <c:majorTickMark val="none"/>
        <c:tickLblPos val="nextTo"/>
        <c:crossAx val="186491264"/>
        <c:crosses val="autoZero"/>
        <c:crossBetween val="between"/>
      </c:valAx>
      <c:dTable>
        <c:showHorzBorder val="1"/>
        <c:showVertBorder val="1"/>
        <c:showOutline val="1"/>
        <c:showKeys val="1"/>
        <c:txPr>
          <a:bodyPr/>
          <a:lstStyle/>
          <a:p>
            <a:pPr rtl="0">
              <a:defRPr b="1"/>
            </a:pPr>
            <a:endParaRPr lang="lt-LT"/>
          </a:p>
        </c:txPr>
      </c:dTable>
    </c:plotArea>
    <c:plotVisOnly val="1"/>
  </c:chart>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baseline="0"/>
              <a:t>LAIKINOJI GLOBA (RŪPYBA) </a:t>
            </a:r>
            <a:endParaRPr lang="lt-LT" sz="1200"/>
          </a:p>
        </c:rich>
      </c:tx>
      <c:layout>
        <c:manualLayout>
          <c:xMode val="edge"/>
          <c:yMode val="edge"/>
          <c:x val="0.32412895903689826"/>
          <c:y val="3.9083666743918652E-2"/>
        </c:manualLayout>
      </c:layout>
      <c:spPr>
        <a:solidFill>
          <a:schemeClr val="bg1">
            <a:lumMod val="95000"/>
          </a:schemeClr>
        </a:solidFill>
      </c:spPr>
    </c:title>
    <c:plotArea>
      <c:layout>
        <c:manualLayout>
          <c:layoutTarget val="inner"/>
          <c:xMode val="edge"/>
          <c:yMode val="edge"/>
          <c:x val="0.48848571011957453"/>
          <c:y val="0.13750000000000001"/>
          <c:w val="0.47200623359580524"/>
          <c:h val="0.76308867641546119"/>
        </c:manualLayout>
      </c:layout>
      <c:barChart>
        <c:barDir val="bar"/>
        <c:grouping val="clustered"/>
        <c:ser>
          <c:idx val="0"/>
          <c:order val="0"/>
          <c:tx>
            <c:strRef>
              <c:f>Sheet1!$B$1</c:f>
              <c:strCache>
                <c:ptCount val="1"/>
                <c:pt idx="0">
                  <c:v>Column3</c:v>
                </c:pt>
              </c:strCache>
            </c:strRef>
          </c:tx>
          <c:spPr>
            <a:solidFill>
              <a:srgbClr val="FFC000"/>
            </a:solidFill>
          </c:spPr>
          <c:dLbls>
            <c:spPr>
              <a:solidFill>
                <a:srgbClr val="92D050"/>
              </a:solidFill>
            </c:spPr>
            <c:txPr>
              <a:bodyPr/>
              <a:lstStyle/>
              <a:p>
                <a:pPr>
                  <a:defRPr sz="1200" b="1"/>
                </a:pPr>
                <a:endParaRPr lang="lt-LT"/>
              </a:p>
            </c:txPr>
            <c:dLblPos val="inBase"/>
            <c:showVal val="1"/>
          </c:dLbls>
          <c:cat>
            <c:strRef>
              <c:f>Sheet1!$A$2:$A$4</c:f>
              <c:strCache>
                <c:ptCount val="3"/>
                <c:pt idx="0">
                  <c:v>Vaikų skaičius, kuriems 2014-2015 m. nustatyta laikinoji globa (rūpyba) baigėsi 2015 m. </c:v>
                </c:pt>
                <c:pt idx="1">
                  <c:v>Vaikų skaičius, kuriems laikinoji globa (rūpyba) išlieka</c:v>
                </c:pt>
                <c:pt idx="2">
                  <c:v>Vaikų skaičius, kuriems 2015 m. nustatyta laikinoji globa (rūpyba) </c:v>
                </c:pt>
              </c:strCache>
            </c:strRef>
          </c:cat>
          <c:val>
            <c:numRef>
              <c:f>Sheet1!$B$2:$B$4</c:f>
              <c:numCache>
                <c:formatCode>General</c:formatCode>
                <c:ptCount val="3"/>
                <c:pt idx="0">
                  <c:v>8</c:v>
                </c:pt>
                <c:pt idx="1">
                  <c:v>4</c:v>
                </c:pt>
                <c:pt idx="2">
                  <c:v>6</c:v>
                </c:pt>
              </c:numCache>
            </c:numRef>
          </c:val>
        </c:ser>
        <c:dLbls>
          <c:showVal val="1"/>
        </c:dLbls>
        <c:axId val="186674176"/>
        <c:axId val="187560704"/>
      </c:barChart>
      <c:catAx>
        <c:axId val="186674176"/>
        <c:scaling>
          <c:orientation val="minMax"/>
        </c:scaling>
        <c:axPos val="l"/>
        <c:numFmt formatCode="General" sourceLinked="1"/>
        <c:majorTickMark val="none"/>
        <c:tickLblPos val="nextTo"/>
        <c:txPr>
          <a:bodyPr/>
          <a:lstStyle/>
          <a:p>
            <a:pPr>
              <a:defRPr b="1"/>
            </a:pPr>
            <a:endParaRPr lang="lt-LT"/>
          </a:p>
        </c:txPr>
        <c:crossAx val="187560704"/>
        <c:crosses val="autoZero"/>
        <c:auto val="1"/>
        <c:lblAlgn val="ctr"/>
        <c:lblOffset val="100"/>
      </c:catAx>
      <c:valAx>
        <c:axId val="187560704"/>
        <c:scaling>
          <c:orientation val="minMax"/>
        </c:scaling>
        <c:delete val="1"/>
        <c:axPos val="b"/>
        <c:majorGridlines/>
        <c:numFmt formatCode="General" sourceLinked="1"/>
        <c:majorTickMark val="none"/>
        <c:tickLblPos val="none"/>
        <c:crossAx val="186674176"/>
        <c:crosses val="autoZero"/>
        <c:crossBetween val="between"/>
      </c:valAx>
    </c:plotArea>
    <c:plotVisOnly val="1"/>
  </c:chart>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GLOBĖJŲ</a:t>
            </a:r>
            <a:r>
              <a:rPr lang="lt-LT" sz="1200" baseline="0"/>
              <a:t> (RŪPINTOJŲ) AMŽIUS</a:t>
            </a:r>
            <a:endParaRPr lang="lt-LT" sz="1200"/>
          </a:p>
        </c:rich>
      </c:tx>
      <c:spPr>
        <a:solidFill>
          <a:schemeClr val="bg1">
            <a:lumMod val="95000"/>
          </a:schemeClr>
        </a:solidFill>
      </c:spPr>
    </c:title>
    <c:plotArea>
      <c:layout/>
      <c:barChart>
        <c:barDir val="col"/>
        <c:grouping val="clustered"/>
        <c:ser>
          <c:idx val="0"/>
          <c:order val="0"/>
          <c:tx>
            <c:strRef>
              <c:f>Sheet1!$B$1</c:f>
              <c:strCache>
                <c:ptCount val="1"/>
                <c:pt idx="0">
                  <c:v>2013 m.</c:v>
                </c:pt>
              </c:strCache>
            </c:strRef>
          </c:tx>
          <c:cat>
            <c:strRef>
              <c:f>Sheet1!$A$2:$A$5</c:f>
              <c:strCache>
                <c:ptCount val="4"/>
                <c:pt idx="0">
                  <c:v>Iki 30 metų</c:v>
                </c:pt>
                <c:pt idx="1">
                  <c:v>Nuo 30 iki 40 metų</c:v>
                </c:pt>
                <c:pt idx="2">
                  <c:v>Nuo 40 iki 55 metų</c:v>
                </c:pt>
                <c:pt idx="3">
                  <c:v>Nuo 55 iki 65 metų ir vyresni</c:v>
                </c:pt>
              </c:strCache>
            </c:strRef>
          </c:cat>
          <c:val>
            <c:numRef>
              <c:f>Sheet1!$B$2:$B$5</c:f>
              <c:numCache>
                <c:formatCode>General</c:formatCode>
                <c:ptCount val="4"/>
                <c:pt idx="0">
                  <c:v>1</c:v>
                </c:pt>
                <c:pt idx="1">
                  <c:v>4</c:v>
                </c:pt>
                <c:pt idx="2">
                  <c:v>1</c:v>
                </c:pt>
                <c:pt idx="3">
                  <c:v>7</c:v>
                </c:pt>
              </c:numCache>
            </c:numRef>
          </c:val>
        </c:ser>
        <c:ser>
          <c:idx val="1"/>
          <c:order val="1"/>
          <c:tx>
            <c:strRef>
              <c:f>Sheet1!$C$1</c:f>
              <c:strCache>
                <c:ptCount val="1"/>
                <c:pt idx="0">
                  <c:v>2014 m.</c:v>
                </c:pt>
              </c:strCache>
            </c:strRef>
          </c:tx>
          <c:cat>
            <c:strRef>
              <c:f>Sheet1!$A$2:$A$5</c:f>
              <c:strCache>
                <c:ptCount val="4"/>
                <c:pt idx="0">
                  <c:v>Iki 30 metų</c:v>
                </c:pt>
                <c:pt idx="1">
                  <c:v>Nuo 30 iki 40 metų</c:v>
                </c:pt>
                <c:pt idx="2">
                  <c:v>Nuo 40 iki 55 metų</c:v>
                </c:pt>
                <c:pt idx="3">
                  <c:v>Nuo 55 iki 65 metų ir vyresni</c:v>
                </c:pt>
              </c:strCache>
            </c:strRef>
          </c:cat>
          <c:val>
            <c:numRef>
              <c:f>Sheet1!$C$2:$C$5</c:f>
              <c:numCache>
                <c:formatCode>General</c:formatCode>
                <c:ptCount val="4"/>
                <c:pt idx="0">
                  <c:v>2</c:v>
                </c:pt>
                <c:pt idx="1">
                  <c:v>3</c:v>
                </c:pt>
                <c:pt idx="2">
                  <c:v>4</c:v>
                </c:pt>
                <c:pt idx="3">
                  <c:v>7</c:v>
                </c:pt>
              </c:numCache>
            </c:numRef>
          </c:val>
        </c:ser>
        <c:ser>
          <c:idx val="2"/>
          <c:order val="2"/>
          <c:tx>
            <c:strRef>
              <c:f>Sheet1!$D$1</c:f>
              <c:strCache>
                <c:ptCount val="1"/>
                <c:pt idx="0">
                  <c:v>2015 m.</c:v>
                </c:pt>
              </c:strCache>
            </c:strRef>
          </c:tx>
          <c:cat>
            <c:strRef>
              <c:f>Sheet1!$A$2:$A$5</c:f>
              <c:strCache>
                <c:ptCount val="4"/>
                <c:pt idx="0">
                  <c:v>Iki 30 metų</c:v>
                </c:pt>
                <c:pt idx="1">
                  <c:v>Nuo 30 iki 40 metų</c:v>
                </c:pt>
                <c:pt idx="2">
                  <c:v>Nuo 40 iki 55 metų</c:v>
                </c:pt>
                <c:pt idx="3">
                  <c:v>Nuo 55 iki 65 metų ir vyresni</c:v>
                </c:pt>
              </c:strCache>
            </c:strRef>
          </c:cat>
          <c:val>
            <c:numRef>
              <c:f>Sheet1!$D$2:$D$5</c:f>
              <c:numCache>
                <c:formatCode>General</c:formatCode>
                <c:ptCount val="4"/>
                <c:pt idx="0">
                  <c:v>3</c:v>
                </c:pt>
                <c:pt idx="1">
                  <c:v>1</c:v>
                </c:pt>
                <c:pt idx="2">
                  <c:v>3</c:v>
                </c:pt>
                <c:pt idx="3">
                  <c:v>6</c:v>
                </c:pt>
              </c:numCache>
            </c:numRef>
          </c:val>
        </c:ser>
        <c:axId val="187409920"/>
        <c:axId val="187411456"/>
      </c:barChart>
      <c:catAx>
        <c:axId val="187409920"/>
        <c:scaling>
          <c:orientation val="minMax"/>
        </c:scaling>
        <c:axPos val="b"/>
        <c:majorTickMark val="none"/>
        <c:tickLblPos val="nextTo"/>
        <c:crossAx val="187411456"/>
        <c:crosses val="autoZero"/>
        <c:auto val="1"/>
        <c:lblAlgn val="ctr"/>
        <c:lblOffset val="100"/>
      </c:catAx>
      <c:valAx>
        <c:axId val="187411456"/>
        <c:scaling>
          <c:orientation val="minMax"/>
        </c:scaling>
        <c:axPos val="l"/>
        <c:majorGridlines/>
        <c:numFmt formatCode="General" sourceLinked="1"/>
        <c:majorTickMark val="none"/>
        <c:tickLblPos val="nextTo"/>
        <c:crossAx val="187409920"/>
        <c:crosses val="autoZero"/>
        <c:crossBetween val="between"/>
      </c:valAx>
      <c:dTable>
        <c:showHorzBorder val="1"/>
        <c:showVertBorder val="1"/>
        <c:showOutline val="1"/>
        <c:showKeys val="1"/>
        <c:txPr>
          <a:bodyPr/>
          <a:lstStyle/>
          <a:p>
            <a:pPr rtl="0">
              <a:defRPr b="1"/>
            </a:pPr>
            <a:endParaRPr lang="lt-LT"/>
          </a:p>
        </c:txPr>
      </c:dTable>
    </c:plotArea>
    <c:plotVisOnly val="1"/>
  </c:chart>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VAIKO</a:t>
            </a:r>
            <a:r>
              <a:rPr lang="lt-LT" sz="1200" baseline="0"/>
              <a:t> GLOBOS (RŪPYBOS) PASIBAIGIMO PRIEŽASTYS</a:t>
            </a:r>
            <a:endParaRPr lang="lt-LT" sz="1200"/>
          </a:p>
        </c:rich>
      </c:tx>
      <c:spPr>
        <a:solidFill>
          <a:schemeClr val="bg1">
            <a:lumMod val="95000"/>
          </a:schemeClr>
        </a:solidFill>
      </c:spPr>
    </c:title>
    <c:plotArea>
      <c:layout/>
      <c:barChart>
        <c:barDir val="col"/>
        <c:grouping val="clustered"/>
        <c:ser>
          <c:idx val="0"/>
          <c:order val="0"/>
          <c:tx>
            <c:strRef>
              <c:f>Sheet1!$B$1</c:f>
              <c:strCache>
                <c:ptCount val="1"/>
                <c:pt idx="0">
                  <c:v>2013 m.</c:v>
                </c:pt>
              </c:strCache>
            </c:strRef>
          </c:tx>
          <c:dLbls>
            <c:spPr>
              <a:noFill/>
            </c:spPr>
            <c:txPr>
              <a:bodyPr/>
              <a:lstStyle/>
              <a:p>
                <a:pPr>
                  <a:defRPr sz="1200" b="1"/>
                </a:pPr>
                <a:endParaRPr lang="lt-LT"/>
              </a:p>
            </c:txPr>
            <c:dLblPos val="inBase"/>
            <c:showVal val="1"/>
          </c:dLbls>
          <c:cat>
            <c:strRef>
              <c:f>Sheet1!$A$2:$A$5</c:f>
              <c:strCache>
                <c:ptCount val="4"/>
                <c:pt idx="0">
                  <c:v>Grąžinti tėvams</c:v>
                </c:pt>
                <c:pt idx="1">
                  <c:v>Sulaukė pilnametystės</c:v>
                </c:pt>
                <c:pt idx="2">
                  <c:v>Laikinoji vaiko globa (rūpyba) pakeista į nuolatinę globą (rūpybą)</c:v>
                </c:pt>
                <c:pt idx="3">
                  <c:v>Įvaikintas</c:v>
                </c:pt>
              </c:strCache>
            </c:strRef>
          </c:cat>
          <c:val>
            <c:numRef>
              <c:f>Sheet1!$B$2:$B$5</c:f>
              <c:numCache>
                <c:formatCode>General</c:formatCode>
                <c:ptCount val="4"/>
                <c:pt idx="0">
                  <c:v>1</c:v>
                </c:pt>
                <c:pt idx="1">
                  <c:v>2</c:v>
                </c:pt>
                <c:pt idx="2">
                  <c:v>0</c:v>
                </c:pt>
                <c:pt idx="3">
                  <c:v>0</c:v>
                </c:pt>
              </c:numCache>
            </c:numRef>
          </c:val>
        </c:ser>
        <c:ser>
          <c:idx val="1"/>
          <c:order val="1"/>
          <c:tx>
            <c:strRef>
              <c:f>Sheet1!$C$1</c:f>
              <c:strCache>
                <c:ptCount val="1"/>
                <c:pt idx="0">
                  <c:v>2014 m.</c:v>
                </c:pt>
              </c:strCache>
            </c:strRef>
          </c:tx>
          <c:dLbls>
            <c:spPr>
              <a:noFill/>
            </c:spPr>
            <c:txPr>
              <a:bodyPr/>
              <a:lstStyle/>
              <a:p>
                <a:pPr>
                  <a:defRPr sz="1200" b="1"/>
                </a:pPr>
                <a:endParaRPr lang="lt-LT"/>
              </a:p>
            </c:txPr>
            <c:dLblPos val="inEnd"/>
            <c:showVal val="1"/>
          </c:dLbls>
          <c:cat>
            <c:strRef>
              <c:f>Sheet1!$A$2:$A$5</c:f>
              <c:strCache>
                <c:ptCount val="4"/>
                <c:pt idx="0">
                  <c:v>Grąžinti tėvams</c:v>
                </c:pt>
                <c:pt idx="1">
                  <c:v>Sulaukė pilnametystės</c:v>
                </c:pt>
                <c:pt idx="2">
                  <c:v>Laikinoji vaiko globa (rūpyba) pakeista į nuolatinę globą (rūpybą)</c:v>
                </c:pt>
                <c:pt idx="3">
                  <c:v>Įvaikintas</c:v>
                </c:pt>
              </c:strCache>
            </c:strRef>
          </c:cat>
          <c:val>
            <c:numRef>
              <c:f>Sheet1!$C$2:$C$5</c:f>
              <c:numCache>
                <c:formatCode>General</c:formatCode>
                <c:ptCount val="4"/>
                <c:pt idx="0">
                  <c:v>11</c:v>
                </c:pt>
                <c:pt idx="1">
                  <c:v>5</c:v>
                </c:pt>
                <c:pt idx="2">
                  <c:v>1</c:v>
                </c:pt>
                <c:pt idx="3">
                  <c:v>1</c:v>
                </c:pt>
              </c:numCache>
            </c:numRef>
          </c:val>
        </c:ser>
        <c:ser>
          <c:idx val="2"/>
          <c:order val="2"/>
          <c:tx>
            <c:strRef>
              <c:f>Sheet1!$D$1</c:f>
              <c:strCache>
                <c:ptCount val="1"/>
                <c:pt idx="0">
                  <c:v>2015 m.</c:v>
                </c:pt>
              </c:strCache>
            </c:strRef>
          </c:tx>
          <c:dLbls>
            <c:spPr>
              <a:noFill/>
            </c:spPr>
            <c:txPr>
              <a:bodyPr/>
              <a:lstStyle/>
              <a:p>
                <a:pPr>
                  <a:defRPr sz="1200" b="1"/>
                </a:pPr>
                <a:endParaRPr lang="lt-LT"/>
              </a:p>
            </c:txPr>
            <c:dLblPos val="inEnd"/>
            <c:showVal val="1"/>
          </c:dLbls>
          <c:cat>
            <c:strRef>
              <c:f>Sheet1!$A$2:$A$5</c:f>
              <c:strCache>
                <c:ptCount val="4"/>
                <c:pt idx="0">
                  <c:v>Grąžinti tėvams</c:v>
                </c:pt>
                <c:pt idx="1">
                  <c:v>Sulaukė pilnametystės</c:v>
                </c:pt>
                <c:pt idx="2">
                  <c:v>Laikinoji vaiko globa (rūpyba) pakeista į nuolatinę globą (rūpybą)</c:v>
                </c:pt>
                <c:pt idx="3">
                  <c:v>Įvaikintas</c:v>
                </c:pt>
              </c:strCache>
            </c:strRef>
          </c:cat>
          <c:val>
            <c:numRef>
              <c:f>Sheet1!$D$2:$D$5</c:f>
              <c:numCache>
                <c:formatCode>General</c:formatCode>
                <c:ptCount val="4"/>
                <c:pt idx="0">
                  <c:v>7</c:v>
                </c:pt>
                <c:pt idx="1">
                  <c:v>2</c:v>
                </c:pt>
                <c:pt idx="2">
                  <c:v>5</c:v>
                </c:pt>
                <c:pt idx="3">
                  <c:v>0</c:v>
                </c:pt>
              </c:numCache>
            </c:numRef>
          </c:val>
        </c:ser>
        <c:axId val="187406976"/>
        <c:axId val="187527552"/>
      </c:barChart>
      <c:catAx>
        <c:axId val="187406976"/>
        <c:scaling>
          <c:orientation val="minMax"/>
        </c:scaling>
        <c:axPos val="b"/>
        <c:majorTickMark val="none"/>
        <c:tickLblPos val="nextTo"/>
        <c:txPr>
          <a:bodyPr/>
          <a:lstStyle/>
          <a:p>
            <a:pPr>
              <a:defRPr b="1"/>
            </a:pPr>
            <a:endParaRPr lang="lt-LT"/>
          </a:p>
        </c:txPr>
        <c:crossAx val="187527552"/>
        <c:crosses val="autoZero"/>
        <c:auto val="1"/>
        <c:lblAlgn val="ctr"/>
        <c:lblOffset val="100"/>
      </c:catAx>
      <c:valAx>
        <c:axId val="187527552"/>
        <c:scaling>
          <c:orientation val="minMax"/>
        </c:scaling>
        <c:axPos val="l"/>
        <c:majorGridlines/>
        <c:numFmt formatCode="General" sourceLinked="1"/>
        <c:majorTickMark val="none"/>
        <c:tickLblPos val="nextTo"/>
        <c:crossAx val="187406976"/>
        <c:crosses val="autoZero"/>
        <c:crossBetween val="between"/>
      </c:valAx>
    </c:plotArea>
    <c:legend>
      <c:legendPos val="r"/>
      <c:txPr>
        <a:bodyPr/>
        <a:lstStyle/>
        <a:p>
          <a:pPr>
            <a:defRPr b="1"/>
          </a:pPr>
          <a:endParaRPr lang="lt-LT"/>
        </a:p>
      </c:txPr>
    </c:legend>
    <c:plotVisOnly val="1"/>
  </c:chart>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VAIKŲ,</a:t>
            </a:r>
            <a:r>
              <a:rPr lang="lt-LT" sz="1200" baseline="0"/>
              <a:t> KURIEMS GLOBĄ (RŪPYBĄ) NUSTATĖ KITA SAVIVALDYBĖ, SKAIČIUS</a:t>
            </a:r>
            <a:endParaRPr lang="lt-LT" sz="1200"/>
          </a:p>
        </c:rich>
      </c:tx>
      <c:spPr>
        <a:solidFill>
          <a:schemeClr val="bg1">
            <a:lumMod val="95000"/>
          </a:schemeClr>
        </a:solidFill>
      </c:spPr>
    </c:title>
    <c:plotArea>
      <c:layout/>
      <c:barChart>
        <c:barDir val="bar"/>
        <c:grouping val="clustered"/>
        <c:ser>
          <c:idx val="0"/>
          <c:order val="0"/>
          <c:tx>
            <c:strRef>
              <c:f>Sheet1!$B$1</c:f>
              <c:strCache>
                <c:ptCount val="1"/>
                <c:pt idx="0">
                  <c:v>Column1</c:v>
                </c:pt>
              </c:strCache>
            </c:strRef>
          </c:tx>
          <c:dLbls>
            <c:spPr>
              <a:solidFill>
                <a:schemeClr val="bg1">
                  <a:lumMod val="95000"/>
                </a:schemeClr>
              </a:solidFill>
            </c:spPr>
            <c:txPr>
              <a:bodyPr/>
              <a:lstStyle/>
              <a:p>
                <a:pPr>
                  <a:defRPr b="1"/>
                </a:pPr>
                <a:endParaRPr lang="lt-LT"/>
              </a:p>
            </c:txPr>
            <c:dLblPos val="inEnd"/>
            <c:showVal val="1"/>
          </c:dLbls>
          <c:cat>
            <c:strRef>
              <c:f>Sheet1!$A$2:$A$4</c:f>
              <c:strCache>
                <c:ptCount val="3"/>
                <c:pt idx="0">
                  <c:v>2013 m. </c:v>
                </c:pt>
                <c:pt idx="1">
                  <c:v>2014 m.</c:v>
                </c:pt>
                <c:pt idx="2">
                  <c:v>2015 m.</c:v>
                </c:pt>
              </c:strCache>
            </c:strRef>
          </c:cat>
          <c:val>
            <c:numRef>
              <c:f>Sheet1!$B$2:$B$4</c:f>
              <c:numCache>
                <c:formatCode>General</c:formatCode>
                <c:ptCount val="3"/>
                <c:pt idx="0">
                  <c:v>8</c:v>
                </c:pt>
                <c:pt idx="1">
                  <c:v>8</c:v>
                </c:pt>
                <c:pt idx="2">
                  <c:v>8</c:v>
                </c:pt>
              </c:numCache>
            </c:numRef>
          </c:val>
        </c:ser>
        <c:axId val="187703680"/>
        <c:axId val="187705216"/>
      </c:barChart>
      <c:catAx>
        <c:axId val="187703680"/>
        <c:scaling>
          <c:orientation val="minMax"/>
        </c:scaling>
        <c:axPos val="l"/>
        <c:majorTickMark val="none"/>
        <c:tickLblPos val="nextTo"/>
        <c:txPr>
          <a:bodyPr/>
          <a:lstStyle/>
          <a:p>
            <a:pPr>
              <a:defRPr b="1"/>
            </a:pPr>
            <a:endParaRPr lang="lt-LT"/>
          </a:p>
        </c:txPr>
        <c:crossAx val="187705216"/>
        <c:crosses val="autoZero"/>
        <c:auto val="1"/>
        <c:lblAlgn val="ctr"/>
        <c:lblOffset val="100"/>
      </c:catAx>
      <c:valAx>
        <c:axId val="187705216"/>
        <c:scaling>
          <c:orientation val="minMax"/>
        </c:scaling>
        <c:axPos val="b"/>
        <c:majorGridlines/>
        <c:numFmt formatCode="General" sourceLinked="1"/>
        <c:majorTickMark val="none"/>
        <c:tickLblPos val="nextTo"/>
        <c:crossAx val="187703680"/>
        <c:crosses val="autoZero"/>
        <c:crossBetween val="between"/>
      </c:valAx>
    </c:plotArea>
    <c:plotVisOnly val="1"/>
  </c:chart>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VAIKŲ</a:t>
            </a:r>
            <a:r>
              <a:rPr lang="lt-LT" sz="1200" baseline="0"/>
              <a:t>, KURIEMS GLOBA (RŪPYBA) NUSTATYTA TĖVŲ PRAŠYMU (LAIKINAI IŠVYKSTANT Į UŽSIENIO ŠALĮ), SKAIČIUS</a:t>
            </a:r>
            <a:endParaRPr lang="lt-LT" sz="1200"/>
          </a:p>
        </c:rich>
      </c:tx>
      <c:spPr>
        <a:solidFill>
          <a:schemeClr val="bg1">
            <a:lumMod val="95000"/>
          </a:schemeClr>
        </a:solidFill>
      </c:spPr>
    </c:title>
    <c:plotArea>
      <c:layout/>
      <c:barChart>
        <c:barDir val="bar"/>
        <c:grouping val="clustered"/>
        <c:ser>
          <c:idx val="0"/>
          <c:order val="0"/>
          <c:tx>
            <c:strRef>
              <c:f>Sheet1!$B$1</c:f>
              <c:strCache>
                <c:ptCount val="1"/>
                <c:pt idx="0">
                  <c:v>Column1</c:v>
                </c:pt>
              </c:strCache>
            </c:strRef>
          </c:tx>
          <c:dLbls>
            <c:spPr>
              <a:solidFill>
                <a:schemeClr val="bg1">
                  <a:lumMod val="95000"/>
                </a:schemeClr>
              </a:solidFill>
            </c:spPr>
            <c:txPr>
              <a:bodyPr/>
              <a:lstStyle/>
              <a:p>
                <a:pPr>
                  <a:defRPr b="1"/>
                </a:pPr>
                <a:endParaRPr lang="lt-LT"/>
              </a:p>
            </c:txPr>
            <c:dLblPos val="inEnd"/>
            <c:showVal val="1"/>
          </c:dLbls>
          <c:cat>
            <c:strRef>
              <c:f>Sheet1!$A$2:$A$4</c:f>
              <c:strCache>
                <c:ptCount val="3"/>
                <c:pt idx="0">
                  <c:v>2013 m.</c:v>
                </c:pt>
                <c:pt idx="1">
                  <c:v>2014 m.</c:v>
                </c:pt>
                <c:pt idx="2">
                  <c:v>2015 m.</c:v>
                </c:pt>
              </c:strCache>
            </c:strRef>
          </c:cat>
          <c:val>
            <c:numRef>
              <c:f>Sheet1!$B$2:$B$4</c:f>
              <c:numCache>
                <c:formatCode>General</c:formatCode>
                <c:ptCount val="3"/>
                <c:pt idx="0">
                  <c:v>13</c:v>
                </c:pt>
                <c:pt idx="1">
                  <c:v>12</c:v>
                </c:pt>
                <c:pt idx="2">
                  <c:v>7</c:v>
                </c:pt>
              </c:numCache>
            </c:numRef>
          </c:val>
        </c:ser>
        <c:axId val="187733504"/>
        <c:axId val="187735040"/>
      </c:barChart>
      <c:catAx>
        <c:axId val="187733504"/>
        <c:scaling>
          <c:orientation val="minMax"/>
        </c:scaling>
        <c:axPos val="l"/>
        <c:majorTickMark val="none"/>
        <c:tickLblPos val="nextTo"/>
        <c:txPr>
          <a:bodyPr/>
          <a:lstStyle/>
          <a:p>
            <a:pPr>
              <a:defRPr b="1"/>
            </a:pPr>
            <a:endParaRPr lang="lt-LT"/>
          </a:p>
        </c:txPr>
        <c:crossAx val="187735040"/>
        <c:crosses val="autoZero"/>
        <c:auto val="1"/>
        <c:lblAlgn val="ctr"/>
        <c:lblOffset val="100"/>
      </c:catAx>
      <c:valAx>
        <c:axId val="187735040"/>
        <c:scaling>
          <c:orientation val="minMax"/>
        </c:scaling>
        <c:axPos val="b"/>
        <c:majorGridlines/>
        <c:numFmt formatCode="General" sourceLinked="1"/>
        <c:majorTickMark val="none"/>
        <c:tickLblPos val="nextTo"/>
        <c:crossAx val="187733504"/>
        <c:crosses val="autoZero"/>
        <c:crossBetween val="between"/>
      </c:valAx>
    </c:plotArea>
    <c:plotVisOnly val="1"/>
  </c:chart>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sz="1200"/>
              <a:t>INSTITUCIJOJE</a:t>
            </a:r>
            <a:r>
              <a:rPr lang="lt-LT" sz="1200" baseline="0"/>
              <a:t> GLOBOJAMŲ (RŪPINAMŲ) VAIKŲ SVEČIAVIMASIS ŠEIMOSE</a:t>
            </a:r>
            <a:endParaRPr lang="lt-LT" sz="1200"/>
          </a:p>
        </c:rich>
      </c:tx>
      <c:spPr>
        <a:solidFill>
          <a:schemeClr val="bg1">
            <a:lumMod val="95000"/>
          </a:schemeClr>
        </a:solidFill>
      </c:spPr>
    </c:title>
    <c:plotArea>
      <c:layout/>
      <c:barChart>
        <c:barDir val="col"/>
        <c:grouping val="clustered"/>
        <c:ser>
          <c:idx val="0"/>
          <c:order val="0"/>
          <c:tx>
            <c:strRef>
              <c:f>Sheet1!$B$1</c:f>
              <c:strCache>
                <c:ptCount val="1"/>
                <c:pt idx="0">
                  <c:v>2013 m.</c:v>
                </c:pt>
              </c:strCache>
            </c:strRef>
          </c:tx>
          <c:dLbls>
            <c:txPr>
              <a:bodyPr/>
              <a:lstStyle/>
              <a:p>
                <a:pPr>
                  <a:defRPr sz="1200" b="1"/>
                </a:pPr>
                <a:endParaRPr lang="lt-LT"/>
              </a:p>
            </c:txPr>
            <c:dLblPos val="inBase"/>
            <c:showVal val="1"/>
          </c:dLbls>
          <c:cat>
            <c:strRef>
              <c:f>Sheet1!$A$2:$A$3</c:f>
              <c:strCache>
                <c:ptCount val="2"/>
                <c:pt idx="0">
                  <c:v>Šeimų priėmusių vaikus skaičius</c:v>
                </c:pt>
                <c:pt idx="1">
                  <c:v>Vaikų skaičius</c:v>
                </c:pt>
              </c:strCache>
            </c:strRef>
          </c:cat>
          <c:val>
            <c:numRef>
              <c:f>Sheet1!$B$2:$B$3</c:f>
              <c:numCache>
                <c:formatCode>General</c:formatCode>
                <c:ptCount val="2"/>
                <c:pt idx="0">
                  <c:v>5</c:v>
                </c:pt>
                <c:pt idx="1">
                  <c:v>7</c:v>
                </c:pt>
              </c:numCache>
            </c:numRef>
          </c:val>
        </c:ser>
        <c:ser>
          <c:idx val="1"/>
          <c:order val="1"/>
          <c:tx>
            <c:strRef>
              <c:f>Sheet1!$C$1</c:f>
              <c:strCache>
                <c:ptCount val="1"/>
                <c:pt idx="0">
                  <c:v>2014 m.</c:v>
                </c:pt>
              </c:strCache>
            </c:strRef>
          </c:tx>
          <c:dLbls>
            <c:txPr>
              <a:bodyPr/>
              <a:lstStyle/>
              <a:p>
                <a:pPr>
                  <a:defRPr sz="1200" b="1"/>
                </a:pPr>
                <a:endParaRPr lang="lt-LT"/>
              </a:p>
            </c:txPr>
            <c:dLblPos val="inBase"/>
            <c:showVal val="1"/>
          </c:dLbls>
          <c:cat>
            <c:strRef>
              <c:f>Sheet1!$A$2:$A$3</c:f>
              <c:strCache>
                <c:ptCount val="2"/>
                <c:pt idx="0">
                  <c:v>Šeimų priėmusių vaikus skaičius</c:v>
                </c:pt>
                <c:pt idx="1">
                  <c:v>Vaikų skaičius</c:v>
                </c:pt>
              </c:strCache>
            </c:strRef>
          </c:cat>
          <c:val>
            <c:numRef>
              <c:f>Sheet1!$C$2:$C$3</c:f>
              <c:numCache>
                <c:formatCode>General</c:formatCode>
                <c:ptCount val="2"/>
                <c:pt idx="0">
                  <c:v>1</c:v>
                </c:pt>
                <c:pt idx="1">
                  <c:v>2</c:v>
                </c:pt>
              </c:numCache>
            </c:numRef>
          </c:val>
        </c:ser>
        <c:ser>
          <c:idx val="2"/>
          <c:order val="2"/>
          <c:tx>
            <c:strRef>
              <c:f>Sheet1!$D$1</c:f>
              <c:strCache>
                <c:ptCount val="1"/>
                <c:pt idx="0">
                  <c:v>2015 m.</c:v>
                </c:pt>
              </c:strCache>
            </c:strRef>
          </c:tx>
          <c:dLbls>
            <c:txPr>
              <a:bodyPr/>
              <a:lstStyle/>
              <a:p>
                <a:pPr>
                  <a:defRPr sz="1200" b="1"/>
                </a:pPr>
                <a:endParaRPr lang="lt-LT"/>
              </a:p>
            </c:txPr>
            <c:dLblPos val="inBase"/>
            <c:showVal val="1"/>
          </c:dLbls>
          <c:cat>
            <c:strRef>
              <c:f>Sheet1!$A$2:$A$3</c:f>
              <c:strCache>
                <c:ptCount val="2"/>
                <c:pt idx="0">
                  <c:v>Šeimų priėmusių vaikus skaičius</c:v>
                </c:pt>
                <c:pt idx="1">
                  <c:v>Vaikų skaičius</c:v>
                </c:pt>
              </c:strCache>
            </c:strRef>
          </c:cat>
          <c:val>
            <c:numRef>
              <c:f>Sheet1!$D$2:$D$3</c:f>
              <c:numCache>
                <c:formatCode>General</c:formatCode>
                <c:ptCount val="2"/>
                <c:pt idx="0">
                  <c:v>1</c:v>
                </c:pt>
                <c:pt idx="1">
                  <c:v>2</c:v>
                </c:pt>
              </c:numCache>
            </c:numRef>
          </c:val>
        </c:ser>
        <c:axId val="188179584"/>
        <c:axId val="188181120"/>
      </c:barChart>
      <c:catAx>
        <c:axId val="188179584"/>
        <c:scaling>
          <c:orientation val="minMax"/>
        </c:scaling>
        <c:axPos val="b"/>
        <c:majorTickMark val="none"/>
        <c:tickLblPos val="nextTo"/>
        <c:txPr>
          <a:bodyPr/>
          <a:lstStyle/>
          <a:p>
            <a:pPr>
              <a:defRPr b="1"/>
            </a:pPr>
            <a:endParaRPr lang="lt-LT"/>
          </a:p>
        </c:txPr>
        <c:crossAx val="188181120"/>
        <c:crosses val="autoZero"/>
        <c:auto val="1"/>
        <c:lblAlgn val="ctr"/>
        <c:lblOffset val="100"/>
      </c:catAx>
      <c:valAx>
        <c:axId val="188181120"/>
        <c:scaling>
          <c:orientation val="minMax"/>
        </c:scaling>
        <c:axPos val="l"/>
        <c:majorGridlines/>
        <c:numFmt formatCode="General" sourceLinked="1"/>
        <c:majorTickMark val="none"/>
        <c:tickLblPos val="nextTo"/>
        <c:crossAx val="188179584"/>
        <c:crosses val="autoZero"/>
        <c:crossBetween val="between"/>
      </c:valAx>
    </c:plotArea>
    <c:legend>
      <c:legendPos val="r"/>
      <c:txPr>
        <a:bodyPr/>
        <a:lstStyle/>
        <a:p>
          <a:pPr>
            <a:defRPr b="1"/>
          </a:pPr>
          <a:endParaRPr lang="lt-LT"/>
        </a:p>
      </c:txPr>
    </c:legend>
    <c:plotVisOnly val="1"/>
  </c:chart>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lt-LT"/>
  <c:style val="5"/>
  <c:chart>
    <c:title>
      <c:tx>
        <c:rich>
          <a:bodyPr/>
          <a:lstStyle/>
          <a:p>
            <a:pPr>
              <a:defRPr lang="en-US">
                <a:latin typeface="Times New Roman" pitchFamily="18" charset="0"/>
                <a:cs typeface="Times New Roman" pitchFamily="18" charset="0"/>
              </a:defRPr>
            </a:pPr>
            <a:r>
              <a:rPr lang="lt-LT">
                <a:latin typeface="Times New Roman" pitchFamily="18" charset="0"/>
                <a:cs typeface="Times New Roman" pitchFamily="18" charset="0"/>
              </a:rPr>
              <a:t>Ugdymo įstaigose ugdomų ikimokyklinio amžiaus vaikų skaičius 2015 m.</a:t>
            </a:r>
            <a:endParaRPr lang="en-US">
              <a:latin typeface="Times New Roman" pitchFamily="18" charset="0"/>
              <a:cs typeface="Times New Roman" pitchFamily="18" charset="0"/>
            </a:endParaRPr>
          </a:p>
        </c:rich>
      </c:tx>
    </c:title>
    <c:plotArea>
      <c:layout/>
      <c:barChart>
        <c:barDir val="col"/>
        <c:grouping val="stacked"/>
        <c:ser>
          <c:idx val="2"/>
          <c:order val="0"/>
          <c:tx>
            <c:strRef>
              <c:f>Lapas2!$A$20</c:f>
              <c:strCache>
                <c:ptCount val="1"/>
                <c:pt idx="0">
                  <c:v>Savivaldybės ugdymo įstaigose ugdomų ikimokyklinio amžiaus vaikų skaičius (188)</c:v>
                </c:pt>
              </c:strCache>
            </c:strRef>
          </c:tx>
          <c:spPr>
            <a:solidFill>
              <a:srgbClr val="1F497D">
                <a:alpha val="52000"/>
              </a:srgbClr>
            </a:solidFill>
          </c:spPr>
          <c:dLbls>
            <c:spPr>
              <a:noFill/>
            </c:spPr>
            <c:txPr>
              <a:bodyPr/>
              <a:lstStyle/>
              <a:p>
                <a:pPr>
                  <a:defRPr lang="en-US"/>
                </a:pPr>
                <a:endParaRPr lang="lt-LT"/>
              </a:p>
            </c:txPr>
            <c:showVal val="1"/>
          </c:dLbls>
          <c:cat>
            <c:numRef>
              <c:f>Lapas2!$B$16:$H$16</c:f>
              <c:numCache>
                <c:formatCode>General</c:formatCode>
                <c:ptCount val="7"/>
                <c:pt idx="0">
                  <c:v>0</c:v>
                </c:pt>
                <c:pt idx="1">
                  <c:v>1</c:v>
                </c:pt>
                <c:pt idx="2">
                  <c:v>2</c:v>
                </c:pt>
                <c:pt idx="3">
                  <c:v>3</c:v>
                </c:pt>
                <c:pt idx="4">
                  <c:v>4</c:v>
                </c:pt>
                <c:pt idx="5">
                  <c:v>5</c:v>
                </c:pt>
              </c:numCache>
            </c:numRef>
          </c:cat>
          <c:val>
            <c:numRef>
              <c:f>Lapas2!$B$20:$H$20</c:f>
              <c:numCache>
                <c:formatCode>General</c:formatCode>
                <c:ptCount val="7"/>
                <c:pt idx="0">
                  <c:v>0</c:v>
                </c:pt>
                <c:pt idx="1">
                  <c:v>6</c:v>
                </c:pt>
                <c:pt idx="2">
                  <c:v>27</c:v>
                </c:pt>
                <c:pt idx="3">
                  <c:v>49</c:v>
                </c:pt>
                <c:pt idx="4">
                  <c:v>54</c:v>
                </c:pt>
                <c:pt idx="5">
                  <c:v>52</c:v>
                </c:pt>
              </c:numCache>
            </c:numRef>
          </c:val>
        </c:ser>
        <c:ser>
          <c:idx val="1"/>
          <c:order val="1"/>
          <c:tx>
            <c:strRef>
              <c:f>Lapas2!$A$19</c:f>
              <c:strCache>
                <c:ptCount val="1"/>
                <c:pt idx="0">
                  <c:v>Ikimokyklinio amžiaus vaikų skaičius savivaldybėje (484)</c:v>
                </c:pt>
              </c:strCache>
            </c:strRef>
          </c:tx>
          <c:dLbls>
            <c:txPr>
              <a:bodyPr/>
              <a:lstStyle/>
              <a:p>
                <a:pPr>
                  <a:defRPr lang="en-US"/>
                </a:pPr>
                <a:endParaRPr lang="lt-LT"/>
              </a:p>
            </c:txPr>
            <c:showVal val="1"/>
          </c:dLbls>
          <c:cat>
            <c:numRef>
              <c:f>Lapas2!$B$16:$H$16</c:f>
              <c:numCache>
                <c:formatCode>General</c:formatCode>
                <c:ptCount val="7"/>
                <c:pt idx="0">
                  <c:v>0</c:v>
                </c:pt>
                <c:pt idx="1">
                  <c:v>1</c:v>
                </c:pt>
                <c:pt idx="2">
                  <c:v>2</c:v>
                </c:pt>
                <c:pt idx="3">
                  <c:v>3</c:v>
                </c:pt>
                <c:pt idx="4">
                  <c:v>4</c:v>
                </c:pt>
                <c:pt idx="5">
                  <c:v>5</c:v>
                </c:pt>
              </c:numCache>
            </c:numRef>
          </c:cat>
          <c:val>
            <c:numRef>
              <c:f>Lapas2!$B$19:$H$19</c:f>
              <c:numCache>
                <c:formatCode>General</c:formatCode>
                <c:ptCount val="7"/>
                <c:pt idx="0">
                  <c:v>77</c:v>
                </c:pt>
                <c:pt idx="1">
                  <c:v>93</c:v>
                </c:pt>
                <c:pt idx="2">
                  <c:v>101</c:v>
                </c:pt>
                <c:pt idx="3">
                  <c:v>88</c:v>
                </c:pt>
                <c:pt idx="4">
                  <c:v>61</c:v>
                </c:pt>
                <c:pt idx="5">
                  <c:v>64</c:v>
                </c:pt>
              </c:numCache>
            </c:numRef>
          </c:val>
        </c:ser>
        <c:dLbls>
          <c:showVal val="1"/>
        </c:dLbls>
        <c:overlap val="100"/>
        <c:axId val="188014592"/>
        <c:axId val="188016512"/>
      </c:barChart>
      <c:catAx>
        <c:axId val="188014592"/>
        <c:scaling>
          <c:orientation val="minMax"/>
        </c:scaling>
        <c:axPos val="b"/>
        <c:title>
          <c:tx>
            <c:rich>
              <a:bodyPr/>
              <a:lstStyle/>
              <a:p>
                <a:pPr>
                  <a:defRPr lang="en-US">
                    <a:latin typeface="Times New Roman" pitchFamily="18" charset="0"/>
                    <a:cs typeface="Times New Roman" pitchFamily="18" charset="0"/>
                  </a:defRPr>
                </a:pPr>
                <a:r>
                  <a:rPr lang="lt-LT">
                    <a:latin typeface="Times New Roman" pitchFamily="18" charset="0"/>
                    <a:cs typeface="Times New Roman" pitchFamily="18" charset="0"/>
                  </a:rPr>
                  <a:t>Vaikų amžius </a:t>
                </a:r>
              </a:p>
              <a:p>
                <a:pPr>
                  <a:defRPr lang="en-US">
                    <a:latin typeface="Times New Roman" pitchFamily="18" charset="0"/>
                    <a:cs typeface="Times New Roman" pitchFamily="18" charset="0"/>
                  </a:defRPr>
                </a:pPr>
                <a:r>
                  <a:rPr lang="lt-LT">
                    <a:latin typeface="Times New Roman" pitchFamily="18" charset="0"/>
                    <a:cs typeface="Times New Roman" pitchFamily="18" charset="0"/>
                  </a:rPr>
                  <a:t>      </a:t>
                </a:r>
                <a:endParaRPr lang="en-US">
                  <a:latin typeface="Times New Roman" pitchFamily="18" charset="0"/>
                  <a:cs typeface="Times New Roman" pitchFamily="18" charset="0"/>
                </a:endParaRPr>
              </a:p>
            </c:rich>
          </c:tx>
          <c:layout>
            <c:manualLayout>
              <c:xMode val="edge"/>
              <c:yMode val="edge"/>
              <c:x val="0.2621173450497371"/>
              <c:y val="0.89921568627451165"/>
            </c:manualLayout>
          </c:layout>
        </c:title>
        <c:numFmt formatCode="General" sourceLinked="1"/>
        <c:tickLblPos val="nextTo"/>
        <c:txPr>
          <a:bodyPr/>
          <a:lstStyle/>
          <a:p>
            <a:pPr>
              <a:defRPr lang="en-US"/>
            </a:pPr>
            <a:endParaRPr lang="lt-LT"/>
          </a:p>
        </c:txPr>
        <c:crossAx val="188016512"/>
        <c:crosses val="autoZero"/>
        <c:auto val="1"/>
        <c:lblAlgn val="ctr"/>
        <c:lblOffset val="100"/>
      </c:catAx>
      <c:valAx>
        <c:axId val="188016512"/>
        <c:scaling>
          <c:orientation val="minMax"/>
        </c:scaling>
        <c:axPos val="l"/>
        <c:majorGridlines/>
        <c:numFmt formatCode="General" sourceLinked="1"/>
        <c:tickLblPos val="nextTo"/>
        <c:txPr>
          <a:bodyPr/>
          <a:lstStyle/>
          <a:p>
            <a:pPr>
              <a:defRPr lang="en-US"/>
            </a:pPr>
            <a:endParaRPr lang="lt-LT"/>
          </a:p>
        </c:txPr>
        <c:crossAx val="188014592"/>
        <c:crosses val="autoZero"/>
        <c:crossBetween val="between"/>
      </c:valAx>
    </c:plotArea>
    <c:legend>
      <c:legendPos val="r"/>
      <c:txPr>
        <a:bodyPr/>
        <a:lstStyle/>
        <a:p>
          <a:pPr>
            <a:defRPr lang="en-US">
              <a:latin typeface="Times New Roman" pitchFamily="18" charset="0"/>
              <a:cs typeface="Times New Roman" pitchFamily="18" charset="0"/>
            </a:defRPr>
          </a:pPr>
          <a:endParaRPr lang="lt-LT"/>
        </a:p>
      </c:txPr>
    </c:legend>
    <c:plotVisOnly val="1"/>
  </c:chart>
  <c:spPr>
    <a:solidFill>
      <a:schemeClr val="accent6">
        <a:lumMod val="40000"/>
        <a:lumOff val="60000"/>
      </a:schemeClr>
    </a:solidFill>
  </c:spPr>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lang="en-US"/>
            </a:pPr>
            <a:r>
              <a:rPr lang="lt-LT" sz="1400">
                <a:latin typeface="Times New Roman" pitchFamily="18" charset="0"/>
                <a:cs typeface="Times New Roman" pitchFamily="18" charset="0"/>
              </a:rPr>
              <a:t>Pedagoginių darbuotojų  kvalifikacinės kategorijos </a:t>
            </a:r>
          </a:p>
          <a:p>
            <a:pPr>
              <a:defRPr lang="en-US"/>
            </a:pPr>
            <a:r>
              <a:rPr lang="lt-LT" sz="1400">
                <a:latin typeface="Times New Roman" pitchFamily="18" charset="0"/>
                <a:cs typeface="Times New Roman" pitchFamily="18" charset="0"/>
              </a:rPr>
              <a:t>bendrojo ugdymo mokyklose</a:t>
            </a:r>
            <a:endParaRPr lang="en-US" sz="1400">
              <a:latin typeface="Times New Roman" pitchFamily="18" charset="0"/>
              <a:cs typeface="Times New Roman" pitchFamily="18" charset="0"/>
            </a:endParaRPr>
          </a:p>
        </c:rich>
      </c:tx>
      <c:layout>
        <c:manualLayout>
          <c:xMode val="edge"/>
          <c:yMode val="edge"/>
          <c:x val="0.17223117539976321"/>
          <c:y val="1.3389727331887508E-2"/>
        </c:manualLayout>
      </c:layout>
    </c:title>
    <c:plotArea>
      <c:layout>
        <c:manualLayout>
          <c:layoutTarget val="inner"/>
          <c:xMode val="edge"/>
          <c:yMode val="edge"/>
          <c:x val="8.2794644340343546E-2"/>
          <c:y val="0.21303253941299624"/>
          <c:w val="0.88580869796339545"/>
          <c:h val="0.66113104392260003"/>
        </c:manualLayout>
      </c:layout>
      <c:barChart>
        <c:barDir val="bar"/>
        <c:grouping val="clustered"/>
        <c:ser>
          <c:idx val="0"/>
          <c:order val="0"/>
          <c:tx>
            <c:strRef>
              <c:f>Lapas5!$B$3</c:f>
              <c:strCache>
                <c:ptCount val="1"/>
                <c:pt idx="0">
                  <c:v>Pedagoginių darbuotojų skaičius</c:v>
                </c:pt>
              </c:strCache>
            </c:strRef>
          </c:tx>
          <c:dLbls>
            <c:txPr>
              <a:bodyPr/>
              <a:lstStyle/>
              <a:p>
                <a:pPr>
                  <a:defRPr lang="en-US" sz="1100" b="1">
                    <a:latin typeface="Times New Roman" pitchFamily="18" charset="0"/>
                    <a:cs typeface="Times New Roman" pitchFamily="18" charset="0"/>
                  </a:defRPr>
                </a:pPr>
                <a:endParaRPr lang="lt-LT"/>
              </a:p>
            </c:txPr>
            <c:showVal val="1"/>
          </c:dLbls>
          <c:cat>
            <c:numRef>
              <c:f>Lapas5!$A$4:$A$6</c:f>
              <c:numCache>
                <c:formatCode>General</c:formatCode>
                <c:ptCount val="3"/>
                <c:pt idx="0">
                  <c:v>2013</c:v>
                </c:pt>
                <c:pt idx="1">
                  <c:v>2014</c:v>
                </c:pt>
                <c:pt idx="2">
                  <c:v>2015</c:v>
                </c:pt>
              </c:numCache>
            </c:numRef>
          </c:cat>
          <c:val>
            <c:numRef>
              <c:f>Lapas5!$B$4:$B$6</c:f>
              <c:numCache>
                <c:formatCode>General</c:formatCode>
                <c:ptCount val="3"/>
                <c:pt idx="0">
                  <c:v>115</c:v>
                </c:pt>
                <c:pt idx="1">
                  <c:v>111</c:v>
                </c:pt>
                <c:pt idx="2">
                  <c:v>105</c:v>
                </c:pt>
              </c:numCache>
            </c:numRef>
          </c:val>
        </c:ser>
        <c:ser>
          <c:idx val="1"/>
          <c:order val="1"/>
          <c:tx>
            <c:strRef>
              <c:f>Lapas5!$C$3</c:f>
              <c:strCache>
                <c:ptCount val="1"/>
                <c:pt idx="0">
                  <c:v>Metodininkai</c:v>
                </c:pt>
              </c:strCache>
            </c:strRef>
          </c:tx>
          <c:dLbls>
            <c:txPr>
              <a:bodyPr/>
              <a:lstStyle/>
              <a:p>
                <a:pPr>
                  <a:defRPr lang="en-US" sz="1100" b="1">
                    <a:latin typeface="Times New Roman" pitchFamily="18" charset="0"/>
                    <a:cs typeface="Times New Roman" pitchFamily="18" charset="0"/>
                  </a:defRPr>
                </a:pPr>
                <a:endParaRPr lang="lt-LT"/>
              </a:p>
            </c:txPr>
            <c:showVal val="1"/>
          </c:dLbls>
          <c:cat>
            <c:numRef>
              <c:f>Lapas5!$A$4:$A$6</c:f>
              <c:numCache>
                <c:formatCode>General</c:formatCode>
                <c:ptCount val="3"/>
                <c:pt idx="0">
                  <c:v>2013</c:v>
                </c:pt>
                <c:pt idx="1">
                  <c:v>2014</c:v>
                </c:pt>
                <c:pt idx="2">
                  <c:v>2015</c:v>
                </c:pt>
              </c:numCache>
            </c:numRef>
          </c:cat>
          <c:val>
            <c:numRef>
              <c:f>Lapas5!$C$4:$C$6</c:f>
              <c:numCache>
                <c:formatCode>General</c:formatCode>
                <c:ptCount val="3"/>
                <c:pt idx="0">
                  <c:v>40</c:v>
                </c:pt>
                <c:pt idx="1">
                  <c:v>40</c:v>
                </c:pt>
                <c:pt idx="2">
                  <c:v>38</c:v>
                </c:pt>
              </c:numCache>
            </c:numRef>
          </c:val>
        </c:ser>
        <c:ser>
          <c:idx val="2"/>
          <c:order val="2"/>
          <c:tx>
            <c:strRef>
              <c:f>Lapas5!$D$3</c:f>
              <c:strCache>
                <c:ptCount val="1"/>
                <c:pt idx="0">
                  <c:v>Vyr. mokytojai</c:v>
                </c:pt>
              </c:strCache>
            </c:strRef>
          </c:tx>
          <c:dLbls>
            <c:txPr>
              <a:bodyPr/>
              <a:lstStyle/>
              <a:p>
                <a:pPr>
                  <a:defRPr lang="en-US" sz="1100" b="1">
                    <a:latin typeface="Times New Roman" pitchFamily="18" charset="0"/>
                    <a:cs typeface="Times New Roman" pitchFamily="18" charset="0"/>
                  </a:defRPr>
                </a:pPr>
                <a:endParaRPr lang="lt-LT"/>
              </a:p>
            </c:txPr>
            <c:showVal val="1"/>
          </c:dLbls>
          <c:cat>
            <c:numRef>
              <c:f>Lapas5!$A$4:$A$6</c:f>
              <c:numCache>
                <c:formatCode>General</c:formatCode>
                <c:ptCount val="3"/>
                <c:pt idx="0">
                  <c:v>2013</c:v>
                </c:pt>
                <c:pt idx="1">
                  <c:v>2014</c:v>
                </c:pt>
                <c:pt idx="2">
                  <c:v>2015</c:v>
                </c:pt>
              </c:numCache>
            </c:numRef>
          </c:cat>
          <c:val>
            <c:numRef>
              <c:f>Lapas5!$D$4:$D$6</c:f>
              <c:numCache>
                <c:formatCode>General</c:formatCode>
                <c:ptCount val="3"/>
                <c:pt idx="0">
                  <c:v>50</c:v>
                </c:pt>
                <c:pt idx="1">
                  <c:v>50</c:v>
                </c:pt>
                <c:pt idx="2">
                  <c:v>48</c:v>
                </c:pt>
              </c:numCache>
            </c:numRef>
          </c:val>
        </c:ser>
        <c:ser>
          <c:idx val="3"/>
          <c:order val="3"/>
          <c:tx>
            <c:strRef>
              <c:f>Lapas5!$E$3</c:f>
              <c:strCache>
                <c:ptCount val="1"/>
                <c:pt idx="0">
                  <c:v>Ekspertai</c:v>
                </c:pt>
              </c:strCache>
            </c:strRef>
          </c:tx>
          <c:dLbls>
            <c:txPr>
              <a:bodyPr/>
              <a:lstStyle/>
              <a:p>
                <a:pPr>
                  <a:defRPr lang="en-US" sz="1100" b="1">
                    <a:latin typeface="Times New Roman" pitchFamily="18" charset="0"/>
                    <a:cs typeface="Times New Roman" pitchFamily="18" charset="0"/>
                  </a:defRPr>
                </a:pPr>
                <a:endParaRPr lang="lt-LT"/>
              </a:p>
            </c:txPr>
            <c:showVal val="1"/>
          </c:dLbls>
          <c:cat>
            <c:numRef>
              <c:f>Lapas5!$A$4:$A$6</c:f>
              <c:numCache>
                <c:formatCode>General</c:formatCode>
                <c:ptCount val="3"/>
                <c:pt idx="0">
                  <c:v>2013</c:v>
                </c:pt>
                <c:pt idx="1">
                  <c:v>2014</c:v>
                </c:pt>
                <c:pt idx="2">
                  <c:v>2015</c:v>
                </c:pt>
              </c:numCache>
            </c:numRef>
          </c:cat>
          <c:val>
            <c:numRef>
              <c:f>Lapas5!$E$4:$E$6</c:f>
              <c:numCache>
                <c:formatCode>General</c:formatCode>
                <c:ptCount val="3"/>
                <c:pt idx="0">
                  <c:v>1</c:v>
                </c:pt>
                <c:pt idx="1">
                  <c:v>1</c:v>
                </c:pt>
                <c:pt idx="2">
                  <c:v>1</c:v>
                </c:pt>
              </c:numCache>
            </c:numRef>
          </c:val>
        </c:ser>
        <c:axId val="188290560"/>
        <c:axId val="188292096"/>
      </c:barChart>
      <c:catAx>
        <c:axId val="188290560"/>
        <c:scaling>
          <c:orientation val="minMax"/>
        </c:scaling>
        <c:axPos val="l"/>
        <c:numFmt formatCode="General" sourceLinked="1"/>
        <c:tickLblPos val="nextTo"/>
        <c:txPr>
          <a:bodyPr/>
          <a:lstStyle/>
          <a:p>
            <a:pPr>
              <a:defRPr lang="en-US" b="1"/>
            </a:pPr>
            <a:endParaRPr lang="lt-LT"/>
          </a:p>
        </c:txPr>
        <c:crossAx val="188292096"/>
        <c:crosses val="autoZero"/>
        <c:auto val="1"/>
        <c:lblAlgn val="ctr"/>
        <c:lblOffset val="100"/>
      </c:catAx>
      <c:valAx>
        <c:axId val="188292096"/>
        <c:scaling>
          <c:orientation val="minMax"/>
        </c:scaling>
        <c:axPos val="b"/>
        <c:majorGridlines/>
        <c:numFmt formatCode="General" sourceLinked="1"/>
        <c:tickLblPos val="nextTo"/>
        <c:txPr>
          <a:bodyPr/>
          <a:lstStyle/>
          <a:p>
            <a:pPr>
              <a:defRPr lang="en-US" sz="800"/>
            </a:pPr>
            <a:endParaRPr lang="lt-LT"/>
          </a:p>
        </c:txPr>
        <c:crossAx val="188290560"/>
        <c:crosses val="autoZero"/>
        <c:crossBetween val="between"/>
      </c:valAx>
    </c:plotArea>
    <c:legend>
      <c:legendPos val="b"/>
      <c:txPr>
        <a:bodyPr/>
        <a:lstStyle/>
        <a:p>
          <a:pPr>
            <a:defRPr lang="en-US" sz="1000" b="1">
              <a:latin typeface="Times New Roman" pitchFamily="18" charset="0"/>
              <a:cs typeface="Times New Roman" pitchFamily="18" charset="0"/>
            </a:defRPr>
          </a:pPr>
          <a:endParaRPr lang="lt-LT"/>
        </a:p>
      </c:txPr>
    </c:legend>
    <c:plotVisOnly val="1"/>
  </c:chart>
  <c:spPr>
    <a:solidFill>
      <a:schemeClr val="accent6">
        <a:lumMod val="40000"/>
        <a:lumOff val="60000"/>
      </a:schemeClr>
    </a:solidFill>
  </c:spPr>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lt-LT"/>
  <c:style val="26"/>
  <c:chart>
    <c:title>
      <c:tx>
        <c:rich>
          <a:bodyPr/>
          <a:lstStyle/>
          <a:p>
            <a:pPr>
              <a:defRPr lang="en-US"/>
            </a:pPr>
            <a:r>
              <a:rPr lang="lt-LT"/>
              <a:t>Vadovų kvalifikacinės kategorijos </a:t>
            </a:r>
          </a:p>
        </c:rich>
      </c:tx>
    </c:title>
    <c:plotArea>
      <c:layout/>
      <c:barChart>
        <c:barDir val="col"/>
        <c:grouping val="clustered"/>
        <c:ser>
          <c:idx val="0"/>
          <c:order val="0"/>
          <c:tx>
            <c:strRef>
              <c:f>Lapas1!$A$4</c:f>
              <c:strCache>
                <c:ptCount val="1"/>
                <c:pt idx="0">
                  <c:v>II kvalifikacinė kategorija </c:v>
                </c:pt>
              </c:strCache>
            </c:strRef>
          </c:tx>
          <c:dLbls>
            <c:txPr>
              <a:bodyPr/>
              <a:lstStyle/>
              <a:p>
                <a:pPr>
                  <a:defRPr lang="en-US"/>
                </a:pPr>
                <a:endParaRPr lang="lt-LT"/>
              </a:p>
            </c:txPr>
            <c:showVal val="1"/>
          </c:dLbls>
          <c:cat>
            <c:strRef>
              <c:f>Lapas1!$B$2:$D$3</c:f>
              <c:strCache>
                <c:ptCount val="3"/>
                <c:pt idx="0">
                  <c:v>2013 m. </c:v>
                </c:pt>
                <c:pt idx="1">
                  <c:v>2014 m. </c:v>
                </c:pt>
                <c:pt idx="2">
                  <c:v>2015 m. </c:v>
                </c:pt>
              </c:strCache>
            </c:strRef>
          </c:cat>
          <c:val>
            <c:numRef>
              <c:f>Lapas1!$B$4:$D$4</c:f>
              <c:numCache>
                <c:formatCode>General</c:formatCode>
                <c:ptCount val="3"/>
                <c:pt idx="0">
                  <c:v>1</c:v>
                </c:pt>
                <c:pt idx="1">
                  <c:v>1</c:v>
                </c:pt>
                <c:pt idx="2">
                  <c:v>1</c:v>
                </c:pt>
              </c:numCache>
            </c:numRef>
          </c:val>
        </c:ser>
        <c:ser>
          <c:idx val="1"/>
          <c:order val="1"/>
          <c:tx>
            <c:strRef>
              <c:f>Lapas1!$A$5</c:f>
              <c:strCache>
                <c:ptCount val="1"/>
                <c:pt idx="0">
                  <c:v>III kvalifikacinė kategorija </c:v>
                </c:pt>
              </c:strCache>
            </c:strRef>
          </c:tx>
          <c:dLbls>
            <c:txPr>
              <a:bodyPr/>
              <a:lstStyle/>
              <a:p>
                <a:pPr>
                  <a:defRPr lang="en-US"/>
                </a:pPr>
                <a:endParaRPr lang="lt-LT"/>
              </a:p>
            </c:txPr>
            <c:showVal val="1"/>
          </c:dLbls>
          <c:cat>
            <c:strRef>
              <c:f>Lapas1!$B$2:$D$3</c:f>
              <c:strCache>
                <c:ptCount val="3"/>
                <c:pt idx="0">
                  <c:v>2013 m. </c:v>
                </c:pt>
                <c:pt idx="1">
                  <c:v>2014 m. </c:v>
                </c:pt>
                <c:pt idx="2">
                  <c:v>2015 m. </c:v>
                </c:pt>
              </c:strCache>
            </c:strRef>
          </c:cat>
          <c:val>
            <c:numRef>
              <c:f>Lapas1!$B$5:$D$5</c:f>
              <c:numCache>
                <c:formatCode>General</c:formatCode>
                <c:ptCount val="3"/>
                <c:pt idx="0">
                  <c:v>10</c:v>
                </c:pt>
                <c:pt idx="1">
                  <c:v>9</c:v>
                </c:pt>
                <c:pt idx="2">
                  <c:v>10</c:v>
                </c:pt>
              </c:numCache>
            </c:numRef>
          </c:val>
        </c:ser>
        <c:ser>
          <c:idx val="2"/>
          <c:order val="2"/>
          <c:tx>
            <c:strRef>
              <c:f>Lapas1!$A$6</c:f>
              <c:strCache>
                <c:ptCount val="1"/>
                <c:pt idx="0">
                  <c:v>Neatestuoti </c:v>
                </c:pt>
              </c:strCache>
            </c:strRef>
          </c:tx>
          <c:dLbls>
            <c:txPr>
              <a:bodyPr/>
              <a:lstStyle/>
              <a:p>
                <a:pPr>
                  <a:defRPr lang="en-US"/>
                </a:pPr>
                <a:endParaRPr lang="lt-LT"/>
              </a:p>
            </c:txPr>
            <c:showVal val="1"/>
          </c:dLbls>
          <c:cat>
            <c:strRef>
              <c:f>Lapas1!$B$2:$D$3</c:f>
              <c:strCache>
                <c:ptCount val="3"/>
                <c:pt idx="0">
                  <c:v>2013 m. </c:v>
                </c:pt>
                <c:pt idx="1">
                  <c:v>2014 m. </c:v>
                </c:pt>
                <c:pt idx="2">
                  <c:v>2015 m. </c:v>
                </c:pt>
              </c:strCache>
            </c:strRef>
          </c:cat>
          <c:val>
            <c:numRef>
              <c:f>Lapas1!$B$6:$D$6</c:f>
              <c:numCache>
                <c:formatCode>General</c:formatCode>
                <c:ptCount val="3"/>
                <c:pt idx="0">
                  <c:v>2</c:v>
                </c:pt>
                <c:pt idx="1">
                  <c:v>3</c:v>
                </c:pt>
                <c:pt idx="2">
                  <c:v>2</c:v>
                </c:pt>
              </c:numCache>
            </c:numRef>
          </c:val>
        </c:ser>
        <c:dLbls>
          <c:showVal val="1"/>
        </c:dLbls>
        <c:axId val="188331520"/>
        <c:axId val="188333056"/>
      </c:barChart>
      <c:catAx>
        <c:axId val="188331520"/>
        <c:scaling>
          <c:orientation val="minMax"/>
        </c:scaling>
        <c:axPos val="b"/>
        <c:majorTickMark val="none"/>
        <c:tickLblPos val="nextTo"/>
        <c:txPr>
          <a:bodyPr/>
          <a:lstStyle/>
          <a:p>
            <a:pPr>
              <a:defRPr lang="en-US"/>
            </a:pPr>
            <a:endParaRPr lang="lt-LT"/>
          </a:p>
        </c:txPr>
        <c:crossAx val="188333056"/>
        <c:crosses val="autoZero"/>
        <c:auto val="1"/>
        <c:lblAlgn val="ctr"/>
        <c:lblOffset val="100"/>
      </c:catAx>
      <c:valAx>
        <c:axId val="188333056"/>
        <c:scaling>
          <c:orientation val="minMax"/>
        </c:scaling>
        <c:axPos val="l"/>
        <c:majorGridlines/>
        <c:numFmt formatCode="General" sourceLinked="1"/>
        <c:majorTickMark val="none"/>
        <c:tickLblPos val="nextTo"/>
        <c:txPr>
          <a:bodyPr/>
          <a:lstStyle/>
          <a:p>
            <a:pPr>
              <a:defRPr lang="en-US"/>
            </a:pPr>
            <a:endParaRPr lang="lt-LT"/>
          </a:p>
        </c:txPr>
        <c:crossAx val="188331520"/>
        <c:crosses val="autoZero"/>
        <c:crossBetween val="between"/>
      </c:valAx>
    </c:plotArea>
    <c:legend>
      <c:legendPos val="b"/>
      <c:txPr>
        <a:bodyPr/>
        <a:lstStyle/>
        <a:p>
          <a:pPr>
            <a:defRPr lang="en-US"/>
          </a:pPr>
          <a:endParaRPr lang="lt-LT"/>
        </a:p>
      </c:txPr>
    </c:legend>
    <c:plotVisOnly val="1"/>
  </c:chart>
  <c:spPr>
    <a:solidFill>
      <a:schemeClr val="accent3">
        <a:lumMod val="20000"/>
        <a:lumOff val="80000"/>
      </a:schemeClr>
    </a:solidFill>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lt-LT"/>
  <c:chart>
    <c:autoTitleDeleted val="1"/>
    <c:plotArea>
      <c:layout>
        <c:manualLayout>
          <c:layoutTarget val="inner"/>
          <c:xMode val="edge"/>
          <c:yMode val="edge"/>
          <c:x val="8.2474226804123682E-2"/>
          <c:y val="7.1942446043165464E-2"/>
          <c:w val="0.60051546391752553"/>
          <c:h val="0.79496402877697847"/>
        </c:manualLayout>
      </c:layout>
      <c:barChart>
        <c:barDir val="col"/>
        <c:grouping val="clustered"/>
        <c:ser>
          <c:idx val="0"/>
          <c:order val="0"/>
          <c:tx>
            <c:strRef>
              <c:f>Sheet1!$A$2</c:f>
              <c:strCache>
                <c:ptCount val="1"/>
                <c:pt idx="0">
                  <c:v>Dėl kraujagyslių, širdies ligų</c:v>
                </c:pt>
              </c:strCache>
            </c:strRef>
          </c:tx>
          <c:spPr>
            <a:solidFill>
              <a:srgbClr val="9999FF"/>
            </a:solidFill>
            <a:ln w="12699">
              <a:solidFill>
                <a:srgbClr val="000000"/>
              </a:solidFill>
              <a:prstDash val="solid"/>
            </a:ln>
          </c:spPr>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Val val="1"/>
          </c:dLbls>
          <c:cat>
            <c:numRef>
              <c:f>Sheet1!$B$1:$D$1</c:f>
              <c:numCache>
                <c:formatCode>General</c:formatCode>
                <c:ptCount val="3"/>
                <c:pt idx="0">
                  <c:v>2013</c:v>
                </c:pt>
                <c:pt idx="1">
                  <c:v>2014</c:v>
                </c:pt>
                <c:pt idx="2">
                  <c:v>2015</c:v>
                </c:pt>
              </c:numCache>
            </c:numRef>
          </c:cat>
          <c:val>
            <c:numRef>
              <c:f>Sheet1!$B$2:$D$2</c:f>
              <c:numCache>
                <c:formatCode>General</c:formatCode>
                <c:ptCount val="3"/>
                <c:pt idx="0">
                  <c:v>55</c:v>
                </c:pt>
                <c:pt idx="1">
                  <c:v>67</c:v>
                </c:pt>
                <c:pt idx="2">
                  <c:v>72</c:v>
                </c:pt>
              </c:numCache>
            </c:numRef>
          </c:val>
        </c:ser>
        <c:ser>
          <c:idx val="1"/>
          <c:order val="1"/>
          <c:tx>
            <c:strRef>
              <c:f>Sheet1!$A$3</c:f>
              <c:strCache>
                <c:ptCount val="1"/>
                <c:pt idx="0">
                  <c:v>Dėl vėžio</c:v>
                </c:pt>
              </c:strCache>
            </c:strRef>
          </c:tx>
          <c:spPr>
            <a:solidFill>
              <a:srgbClr val="993366"/>
            </a:solidFill>
            <a:ln w="12699">
              <a:solidFill>
                <a:srgbClr val="000000"/>
              </a:solidFill>
              <a:prstDash val="solid"/>
            </a:ln>
          </c:spPr>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Val val="1"/>
          </c:dLbls>
          <c:cat>
            <c:numRef>
              <c:f>Sheet1!$B$1:$D$1</c:f>
              <c:numCache>
                <c:formatCode>General</c:formatCode>
                <c:ptCount val="3"/>
                <c:pt idx="0">
                  <c:v>2013</c:v>
                </c:pt>
                <c:pt idx="1">
                  <c:v>2014</c:v>
                </c:pt>
                <c:pt idx="2">
                  <c:v>2015</c:v>
                </c:pt>
              </c:numCache>
            </c:numRef>
          </c:cat>
          <c:val>
            <c:numRef>
              <c:f>Sheet1!$B$3:$D$3</c:f>
              <c:numCache>
                <c:formatCode>General</c:formatCode>
                <c:ptCount val="3"/>
                <c:pt idx="0">
                  <c:v>22</c:v>
                </c:pt>
                <c:pt idx="1">
                  <c:v>24</c:v>
                </c:pt>
                <c:pt idx="2">
                  <c:v>19</c:v>
                </c:pt>
              </c:numCache>
            </c:numRef>
          </c:val>
        </c:ser>
        <c:ser>
          <c:idx val="2"/>
          <c:order val="2"/>
          <c:tx>
            <c:strRef>
              <c:f>Sheet1!$A$4</c:f>
              <c:strCache>
                <c:ptCount val="1"/>
                <c:pt idx="0">
                  <c:v>Dėl kitų ligų</c:v>
                </c:pt>
              </c:strCache>
            </c:strRef>
          </c:tx>
          <c:spPr>
            <a:solidFill>
              <a:srgbClr val="FFFFCC"/>
            </a:solidFill>
            <a:ln w="12699">
              <a:solidFill>
                <a:srgbClr val="000000"/>
              </a:solidFill>
              <a:prstDash val="solid"/>
            </a:ln>
          </c:spPr>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Val val="1"/>
          </c:dLbls>
          <c:cat>
            <c:numRef>
              <c:f>Sheet1!$B$1:$D$1</c:f>
              <c:numCache>
                <c:formatCode>General</c:formatCode>
                <c:ptCount val="3"/>
                <c:pt idx="0">
                  <c:v>2013</c:v>
                </c:pt>
                <c:pt idx="1">
                  <c:v>2014</c:v>
                </c:pt>
                <c:pt idx="2">
                  <c:v>2015</c:v>
                </c:pt>
              </c:numCache>
            </c:numRef>
          </c:cat>
          <c:val>
            <c:numRef>
              <c:f>Sheet1!$B$4:$D$4</c:f>
              <c:numCache>
                <c:formatCode>General</c:formatCode>
                <c:ptCount val="3"/>
                <c:pt idx="0">
                  <c:v>25</c:v>
                </c:pt>
                <c:pt idx="1">
                  <c:v>25</c:v>
                </c:pt>
                <c:pt idx="2">
                  <c:v>16</c:v>
                </c:pt>
              </c:numCache>
            </c:numRef>
          </c:val>
        </c:ser>
        <c:ser>
          <c:idx val="3"/>
          <c:order val="3"/>
          <c:tx>
            <c:strRef>
              <c:f>Sheet1!$A$5</c:f>
              <c:strCache>
                <c:ptCount val="1"/>
                <c:pt idx="0">
                  <c:v>Dėl nelaimingų atsitikimų</c:v>
                </c:pt>
              </c:strCache>
            </c:strRef>
          </c:tx>
          <c:spPr>
            <a:solidFill>
              <a:srgbClr val="CCFFFF"/>
            </a:solidFill>
            <a:ln w="12699">
              <a:solidFill>
                <a:srgbClr val="000000"/>
              </a:solidFill>
              <a:prstDash val="solid"/>
            </a:ln>
          </c:spPr>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Val val="1"/>
          </c:dLbls>
          <c:cat>
            <c:numRef>
              <c:f>Sheet1!$B$1:$D$1</c:f>
              <c:numCache>
                <c:formatCode>General</c:formatCode>
                <c:ptCount val="3"/>
                <c:pt idx="0">
                  <c:v>2013</c:v>
                </c:pt>
                <c:pt idx="1">
                  <c:v>2014</c:v>
                </c:pt>
                <c:pt idx="2">
                  <c:v>2015</c:v>
                </c:pt>
              </c:numCache>
            </c:numRef>
          </c:cat>
          <c:val>
            <c:numRef>
              <c:f>Sheet1!$B$5:$D$5</c:f>
              <c:numCache>
                <c:formatCode>General</c:formatCode>
                <c:ptCount val="3"/>
                <c:pt idx="0">
                  <c:v>2</c:v>
                </c:pt>
                <c:pt idx="1">
                  <c:v>5</c:v>
                </c:pt>
                <c:pt idx="2">
                  <c:v>4</c:v>
                </c:pt>
              </c:numCache>
            </c:numRef>
          </c:val>
        </c:ser>
        <c:ser>
          <c:idx val="4"/>
          <c:order val="4"/>
          <c:tx>
            <c:strRef>
              <c:f>Sheet1!$A$6</c:f>
              <c:strCache>
                <c:ptCount val="1"/>
                <c:pt idx="0">
                  <c:v>Dėl savižudybės</c:v>
                </c:pt>
              </c:strCache>
            </c:strRef>
          </c:tx>
          <c:spPr>
            <a:solidFill>
              <a:srgbClr val="660066"/>
            </a:solidFill>
            <a:ln w="12699">
              <a:solidFill>
                <a:srgbClr val="000000"/>
              </a:solidFill>
              <a:prstDash val="solid"/>
            </a:ln>
          </c:spPr>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Val val="1"/>
          </c:dLbls>
          <c:cat>
            <c:numRef>
              <c:f>Sheet1!$B$1:$D$1</c:f>
              <c:numCache>
                <c:formatCode>General</c:formatCode>
                <c:ptCount val="3"/>
                <c:pt idx="0">
                  <c:v>2013</c:v>
                </c:pt>
                <c:pt idx="1">
                  <c:v>2014</c:v>
                </c:pt>
                <c:pt idx="2">
                  <c:v>2015</c:v>
                </c:pt>
              </c:numCache>
            </c:numRef>
          </c:cat>
          <c:val>
            <c:numRef>
              <c:f>Sheet1!$B$6:$D$6</c:f>
              <c:numCache>
                <c:formatCode>General</c:formatCode>
                <c:ptCount val="3"/>
                <c:pt idx="0">
                  <c:v>5</c:v>
                </c:pt>
                <c:pt idx="1">
                  <c:v>5</c:v>
                </c:pt>
                <c:pt idx="2">
                  <c:v>6</c:v>
                </c:pt>
              </c:numCache>
            </c:numRef>
          </c:val>
        </c:ser>
        <c:dLbls>
          <c:showVal val="1"/>
        </c:dLbls>
        <c:axId val="171281408"/>
        <c:axId val="171295488"/>
      </c:barChart>
      <c:catAx>
        <c:axId val="171281408"/>
        <c:scaling>
          <c:orientation val="minMax"/>
        </c:scaling>
        <c:axPos val="b"/>
        <c:numFmt formatCode="General" sourceLinked="1"/>
        <c:majorTickMark val="in"/>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171295488"/>
        <c:crosses val="autoZero"/>
        <c:auto val="1"/>
        <c:lblAlgn val="ctr"/>
        <c:lblOffset val="100"/>
        <c:tickLblSkip val="1"/>
        <c:tickMarkSkip val="1"/>
      </c:catAx>
      <c:valAx>
        <c:axId val="17129548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171281408"/>
        <c:crosses val="autoZero"/>
        <c:crossBetween val="between"/>
      </c:valAx>
      <c:spPr>
        <a:solidFill>
          <a:srgbClr val="C0C0C0"/>
        </a:solidFill>
        <a:ln w="12699">
          <a:solidFill>
            <a:srgbClr val="808080"/>
          </a:solidFill>
          <a:prstDash val="solid"/>
        </a:ln>
      </c:spPr>
    </c:plotArea>
    <c:legend>
      <c:legendPos val="r"/>
      <c:layout>
        <c:manualLayout>
          <c:xMode val="edge"/>
          <c:yMode val="edge"/>
          <c:x val="0.71134020618557636"/>
          <c:y val="0.17266187050359713"/>
          <c:w val="0.27835051546391781"/>
          <c:h val="0.59712230215827333"/>
        </c:manualLayout>
      </c:layout>
      <c:spPr>
        <a:solidFill>
          <a:srgbClr val="FFFFFF"/>
        </a:solidFill>
        <a:ln w="3175">
          <a:solidFill>
            <a:srgbClr val="000000"/>
          </a:solidFill>
          <a:prstDash val="solid"/>
        </a:ln>
      </c:spPr>
      <c:txPr>
        <a:bodyPr/>
        <a:lstStyle/>
        <a:p>
          <a:pPr>
            <a:defRPr sz="735" b="1" i="0" u="none" strike="noStrike" baseline="0">
              <a:solidFill>
                <a:srgbClr val="000000"/>
              </a:solidFill>
              <a:latin typeface="Arial"/>
              <a:ea typeface="Arial"/>
              <a:cs typeface="Arial"/>
            </a:defRPr>
          </a:pPr>
          <a:endParaRPr lang="lt-LT"/>
        </a:p>
      </c:txPr>
    </c:legend>
    <c:plotVisOnly val="1"/>
    <c:dispBlanksAs val="gap"/>
  </c:chart>
  <c:spPr>
    <a:noFill/>
    <a:ln>
      <a:noFill/>
    </a:ln>
  </c:spPr>
  <c:txPr>
    <a:bodyPr/>
    <a:lstStyle/>
    <a:p>
      <a:pPr>
        <a:defRPr sz="800" b="1" i="0" u="none" strike="noStrike" baseline="0">
          <a:solidFill>
            <a:srgbClr val="000000"/>
          </a:solidFill>
          <a:latin typeface="Arial"/>
          <a:ea typeface="Arial"/>
          <a:cs typeface="Arial"/>
        </a:defRPr>
      </a:pPr>
      <a:endParaRPr lang="lt-LT"/>
    </a:p>
  </c:txPr>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lt-LT"/>
  <c:style val="26"/>
  <c:chart>
    <c:title>
      <c:tx>
        <c:rich>
          <a:bodyPr/>
          <a:lstStyle/>
          <a:p>
            <a:pPr>
              <a:defRPr lang="en-US"/>
            </a:pPr>
            <a:r>
              <a:rPr lang="lt-LT" sz="1400"/>
              <a:t>Valstybinių brandos egzaminų vidurkiai</a:t>
            </a:r>
          </a:p>
          <a:p>
            <a:pPr>
              <a:defRPr lang="en-US"/>
            </a:pPr>
            <a:r>
              <a:rPr lang="lt-LT" sz="1400" baseline="0"/>
              <a:t>Rietavo savivaldybėje  </a:t>
            </a:r>
            <a:endParaRPr lang="lt-LT" sz="1400"/>
          </a:p>
        </c:rich>
      </c:tx>
    </c:title>
    <c:plotArea>
      <c:layout/>
      <c:barChart>
        <c:barDir val="col"/>
        <c:grouping val="clustered"/>
        <c:ser>
          <c:idx val="0"/>
          <c:order val="0"/>
          <c:tx>
            <c:strRef>
              <c:f>Lapas2!$B$8</c:f>
              <c:strCache>
                <c:ptCount val="1"/>
                <c:pt idx="0">
                  <c:v>2015</c:v>
                </c:pt>
              </c:strCache>
            </c:strRef>
          </c:tx>
          <c:spPr>
            <a:solidFill>
              <a:srgbClr val="000099"/>
            </a:solidFill>
          </c:spPr>
          <c:dLbls>
            <c:txPr>
              <a:bodyPr/>
              <a:lstStyle/>
              <a:p>
                <a:pPr>
                  <a:defRPr lang="en-US" sz="800"/>
                </a:pPr>
                <a:endParaRPr lang="lt-LT"/>
              </a:p>
            </c:txPr>
            <c:showVal val="1"/>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Lapas2!$B$9:$B$17</c:f>
              <c:numCache>
                <c:formatCode>General</c:formatCode>
                <c:ptCount val="9"/>
                <c:pt idx="0">
                  <c:v>55.14</c:v>
                </c:pt>
                <c:pt idx="1">
                  <c:v>36.36</c:v>
                </c:pt>
                <c:pt idx="2">
                  <c:v>36.980000000000004</c:v>
                </c:pt>
                <c:pt idx="3">
                  <c:v>35.120000000000012</c:v>
                </c:pt>
                <c:pt idx="4">
                  <c:v>0</c:v>
                </c:pt>
                <c:pt idx="5">
                  <c:v>48.02</c:v>
                </c:pt>
                <c:pt idx="6">
                  <c:v>29.71</c:v>
                </c:pt>
                <c:pt idx="7">
                  <c:v>37.94</c:v>
                </c:pt>
                <c:pt idx="8">
                  <c:v>35.520000000000003</c:v>
                </c:pt>
              </c:numCache>
            </c:numRef>
          </c:val>
        </c:ser>
        <c:ser>
          <c:idx val="1"/>
          <c:order val="1"/>
          <c:tx>
            <c:strRef>
              <c:f>Lapas2!$C$8</c:f>
              <c:strCache>
                <c:ptCount val="1"/>
                <c:pt idx="0">
                  <c:v>2014</c:v>
                </c:pt>
              </c:strCache>
            </c:strRef>
          </c:tx>
          <c:spPr>
            <a:solidFill>
              <a:srgbClr val="FF0000"/>
            </a:solidFill>
          </c:spPr>
          <c:dLbls>
            <c:txPr>
              <a:bodyPr/>
              <a:lstStyle/>
              <a:p>
                <a:pPr>
                  <a:defRPr lang="en-US" sz="800"/>
                </a:pPr>
                <a:endParaRPr lang="lt-LT"/>
              </a:p>
            </c:txPr>
            <c:showVal val="1"/>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Lapas2!$C$9:$C$17</c:f>
              <c:numCache>
                <c:formatCode>General</c:formatCode>
                <c:ptCount val="9"/>
                <c:pt idx="0">
                  <c:v>34.94</c:v>
                </c:pt>
                <c:pt idx="1">
                  <c:v>39.83</c:v>
                </c:pt>
                <c:pt idx="2">
                  <c:v>33.25</c:v>
                </c:pt>
                <c:pt idx="3">
                  <c:v>30.1</c:v>
                </c:pt>
                <c:pt idx="4">
                  <c:v>51.5</c:v>
                </c:pt>
                <c:pt idx="5">
                  <c:v>56.190000000000012</c:v>
                </c:pt>
                <c:pt idx="6">
                  <c:v>35.270000000000003</c:v>
                </c:pt>
                <c:pt idx="7">
                  <c:v>46.77</c:v>
                </c:pt>
                <c:pt idx="8">
                  <c:v>46.21</c:v>
                </c:pt>
              </c:numCache>
            </c:numRef>
          </c:val>
        </c:ser>
        <c:ser>
          <c:idx val="2"/>
          <c:order val="2"/>
          <c:tx>
            <c:strRef>
              <c:f>Lapas2!$D$8</c:f>
              <c:strCache>
                <c:ptCount val="1"/>
                <c:pt idx="0">
                  <c:v>2013</c:v>
                </c:pt>
              </c:strCache>
            </c:strRef>
          </c:tx>
          <c:spPr>
            <a:solidFill>
              <a:srgbClr val="008000"/>
            </a:solidFill>
          </c:spPr>
          <c:dLbls>
            <c:txPr>
              <a:bodyPr/>
              <a:lstStyle/>
              <a:p>
                <a:pPr>
                  <a:defRPr lang="en-US" sz="800"/>
                </a:pPr>
                <a:endParaRPr lang="lt-LT"/>
              </a:p>
            </c:txPr>
            <c:showVal val="1"/>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Lapas2!$D$9:$D$17</c:f>
              <c:numCache>
                <c:formatCode>General</c:formatCode>
                <c:ptCount val="9"/>
                <c:pt idx="0">
                  <c:v>69</c:v>
                </c:pt>
                <c:pt idx="1">
                  <c:v>44.74</c:v>
                </c:pt>
                <c:pt idx="2">
                  <c:v>38.14</c:v>
                </c:pt>
                <c:pt idx="3">
                  <c:v>39.700000000000003</c:v>
                </c:pt>
                <c:pt idx="4">
                  <c:v>42</c:v>
                </c:pt>
                <c:pt idx="5">
                  <c:v>56.339999999999996</c:v>
                </c:pt>
                <c:pt idx="6">
                  <c:v>37.849999999999994</c:v>
                </c:pt>
                <c:pt idx="7">
                  <c:v>34.9</c:v>
                </c:pt>
                <c:pt idx="8">
                  <c:v>49</c:v>
                </c:pt>
              </c:numCache>
            </c:numRef>
          </c:val>
        </c:ser>
        <c:ser>
          <c:idx val="3"/>
          <c:order val="3"/>
          <c:tx>
            <c:strRef>
              <c:f>Lapas2!$E$8</c:f>
              <c:strCache>
                <c:ptCount val="1"/>
                <c:pt idx="0">
                  <c:v>2012 </c:v>
                </c:pt>
              </c:strCache>
            </c:strRef>
          </c:tx>
          <c:spPr>
            <a:solidFill>
              <a:srgbClr val="FFCC00"/>
            </a:solidFill>
          </c:spPr>
          <c:dLbls>
            <c:txPr>
              <a:bodyPr/>
              <a:lstStyle/>
              <a:p>
                <a:pPr>
                  <a:defRPr lang="en-US" sz="800"/>
                </a:pPr>
                <a:endParaRPr lang="lt-LT"/>
              </a:p>
            </c:txPr>
            <c:showVal val="1"/>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Lapas2!$E$9:$E$17</c:f>
              <c:numCache>
                <c:formatCode>0.00</c:formatCode>
                <c:ptCount val="9"/>
                <c:pt idx="0" formatCode="General">
                  <c:v>58.730000000000011</c:v>
                </c:pt>
                <c:pt idx="1">
                  <c:v>53.39</c:v>
                </c:pt>
                <c:pt idx="2" formatCode="General">
                  <c:v>32.760000000000012</c:v>
                </c:pt>
                <c:pt idx="3" formatCode="General">
                  <c:v>30.3</c:v>
                </c:pt>
                <c:pt idx="4" formatCode="General">
                  <c:v>22.6</c:v>
                </c:pt>
                <c:pt idx="5" formatCode="General">
                  <c:v>41.32</c:v>
                </c:pt>
                <c:pt idx="6" formatCode="General">
                  <c:v>32.71</c:v>
                </c:pt>
                <c:pt idx="7" formatCode="General">
                  <c:v>33.07</c:v>
                </c:pt>
                <c:pt idx="8" formatCode="General">
                  <c:v>48.67</c:v>
                </c:pt>
              </c:numCache>
            </c:numRef>
          </c:val>
        </c:ser>
        <c:dLbls>
          <c:showVal val="1"/>
        </c:dLbls>
        <c:gapWidth val="75"/>
        <c:overlap val="-25"/>
        <c:axId val="188381824"/>
        <c:axId val="188395904"/>
      </c:barChart>
      <c:catAx>
        <c:axId val="188381824"/>
        <c:scaling>
          <c:orientation val="minMax"/>
        </c:scaling>
        <c:axPos val="b"/>
        <c:numFmt formatCode="General" sourceLinked="1"/>
        <c:majorTickMark val="none"/>
        <c:tickLblPos val="nextTo"/>
        <c:txPr>
          <a:bodyPr/>
          <a:lstStyle/>
          <a:p>
            <a:pPr>
              <a:defRPr lang="en-US" sz="600" b="1"/>
            </a:pPr>
            <a:endParaRPr lang="lt-LT"/>
          </a:p>
        </c:txPr>
        <c:crossAx val="188395904"/>
        <c:crosses val="autoZero"/>
        <c:auto val="1"/>
        <c:lblAlgn val="ctr"/>
        <c:lblOffset val="100"/>
      </c:catAx>
      <c:valAx>
        <c:axId val="188395904"/>
        <c:scaling>
          <c:orientation val="minMax"/>
        </c:scaling>
        <c:axPos val="l"/>
        <c:majorGridlines/>
        <c:numFmt formatCode="General" sourceLinked="1"/>
        <c:majorTickMark val="none"/>
        <c:tickLblPos val="nextTo"/>
        <c:spPr>
          <a:ln w="9525">
            <a:noFill/>
          </a:ln>
        </c:spPr>
        <c:txPr>
          <a:bodyPr/>
          <a:lstStyle/>
          <a:p>
            <a:pPr>
              <a:defRPr lang="en-US"/>
            </a:pPr>
            <a:endParaRPr lang="lt-LT"/>
          </a:p>
        </c:txPr>
        <c:crossAx val="188381824"/>
        <c:crosses val="autoZero"/>
        <c:crossBetween val="between"/>
      </c:valAx>
    </c:plotArea>
    <c:legend>
      <c:legendPos val="b"/>
      <c:layout>
        <c:manualLayout>
          <c:xMode val="edge"/>
          <c:yMode val="edge"/>
          <c:x val="0.25910219966110776"/>
          <c:y val="0.87286547233018785"/>
          <c:w val="0.50670242673026056"/>
          <c:h val="9.5460321405902465E-2"/>
        </c:manualLayout>
      </c:layout>
      <c:txPr>
        <a:bodyPr/>
        <a:lstStyle/>
        <a:p>
          <a:pPr>
            <a:defRPr lang="en-US"/>
          </a:pPr>
          <a:endParaRPr lang="lt-LT"/>
        </a:p>
      </c:txPr>
    </c:legend>
    <c:plotVisOnly val="1"/>
    <c:dispBlanksAs val="gap"/>
  </c:chart>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lt-LT"/>
  <c:style val="26"/>
  <c:chart>
    <c:title>
      <c:tx>
        <c:rich>
          <a:bodyPr/>
          <a:lstStyle/>
          <a:p>
            <a:pPr>
              <a:defRPr lang="en-US" sz="1200">
                <a:latin typeface="Times New Roman" pitchFamily="18" charset="0"/>
                <a:cs typeface="Times New Roman" pitchFamily="18" charset="0"/>
              </a:defRPr>
            </a:pPr>
            <a:r>
              <a:rPr lang="lt-LT" sz="1200" b="1" i="0" u="none" strike="noStrike" baseline="0">
                <a:latin typeface="Times New Roman" pitchFamily="18" charset="0"/>
                <a:cs typeface="Times New Roman" pitchFamily="18" charset="0"/>
              </a:rPr>
              <a:t>Valstybinių brandos egzaminų rezultatai 2014 ir 2015 metais (neišlaikė proc.) </a:t>
            </a:r>
            <a:endParaRPr lang="lt-LT" sz="1200">
              <a:latin typeface="Times New Roman" pitchFamily="18" charset="0"/>
              <a:cs typeface="Times New Roman" pitchFamily="18" charset="0"/>
            </a:endParaRPr>
          </a:p>
        </c:rich>
      </c:tx>
      <c:layout>
        <c:manualLayout>
          <c:xMode val="edge"/>
          <c:yMode val="edge"/>
          <c:x val="0.15162402870212441"/>
          <c:y val="7.9805509784547542E-3"/>
        </c:manualLayout>
      </c:layout>
    </c:title>
    <c:plotArea>
      <c:layout>
        <c:manualLayout>
          <c:layoutTarget val="inner"/>
          <c:xMode val="edge"/>
          <c:yMode val="edge"/>
          <c:x val="6.9457155055967973E-2"/>
          <c:y val="0.20150396742196491"/>
          <c:w val="0.88728603297308661"/>
          <c:h val="0.511872437278859"/>
        </c:manualLayout>
      </c:layout>
      <c:barChart>
        <c:barDir val="col"/>
        <c:grouping val="clustered"/>
        <c:ser>
          <c:idx val="0"/>
          <c:order val="0"/>
          <c:tx>
            <c:strRef>
              <c:f>Lapas3!$Q$5</c:f>
              <c:strCache>
                <c:ptCount val="1"/>
                <c:pt idx="0">
                  <c:v>Visa Lietuva</c:v>
                </c:pt>
              </c:strCache>
            </c:strRef>
          </c:tx>
          <c:spPr>
            <a:solidFill>
              <a:srgbClr val="008000"/>
            </a:solidFill>
          </c:spPr>
          <c:dLbls>
            <c:txPr>
              <a:bodyPr/>
              <a:lstStyle/>
              <a:p>
                <a:pPr>
                  <a:defRPr lang="en-US" sz="600"/>
                </a:pPr>
                <a:endParaRPr lang="lt-LT"/>
              </a:p>
            </c:txPr>
            <c:showVal val="1"/>
          </c:dLbls>
          <c:cat>
            <c:multiLvlStrRef>
              <c:f>Lapas3!$R$3:$AI$4</c:f>
              <c:multiLvlStrCache>
                <c:ptCount val="18"/>
                <c:lvl>
                  <c:pt idx="0">
                    <c:v>2014</c:v>
                  </c:pt>
                  <c:pt idx="1">
                    <c:v>2015</c:v>
                  </c:pt>
                  <c:pt idx="2">
                    <c:v>2014</c:v>
                  </c:pt>
                  <c:pt idx="3">
                    <c:v>2015</c:v>
                  </c:pt>
                  <c:pt idx="4">
                    <c:v>2014</c:v>
                  </c:pt>
                  <c:pt idx="5">
                    <c:v>2015</c:v>
                  </c:pt>
                  <c:pt idx="6">
                    <c:v>2014</c:v>
                  </c:pt>
                  <c:pt idx="7">
                    <c:v>2015</c:v>
                  </c:pt>
                  <c:pt idx="8">
                    <c:v>2014</c:v>
                  </c:pt>
                  <c:pt idx="9">
                    <c:v>2015</c:v>
                  </c:pt>
                  <c:pt idx="10">
                    <c:v>2014</c:v>
                  </c:pt>
                  <c:pt idx="11">
                    <c:v>2015</c:v>
                  </c:pt>
                  <c:pt idx="12">
                    <c:v>2014</c:v>
                  </c:pt>
                  <c:pt idx="13">
                    <c:v>2015</c:v>
                  </c:pt>
                  <c:pt idx="14">
                    <c:v>2014</c:v>
                  </c:pt>
                  <c:pt idx="15">
                    <c:v>2015</c:v>
                  </c:pt>
                  <c:pt idx="16">
                    <c:v>2014</c:v>
                  </c:pt>
                  <c:pt idx="17">
                    <c:v>2015</c:v>
                  </c:pt>
                </c:lvl>
                <c:lvl>
                  <c:pt idx="0">
                    <c:v>Informacinės technologijos </c:v>
                  </c:pt>
                  <c:pt idx="2">
                    <c:v>Lietuvių k. </c:v>
                  </c:pt>
                  <c:pt idx="4">
                    <c:v>Istorija </c:v>
                  </c:pt>
                  <c:pt idx="6">
                    <c:v>Matematika </c:v>
                  </c:pt>
                  <c:pt idx="8">
                    <c:v>Chemija </c:v>
                  </c:pt>
                  <c:pt idx="10">
                    <c:v>Anglų k. </c:v>
                  </c:pt>
                  <c:pt idx="12">
                    <c:v>Fizika </c:v>
                  </c:pt>
                  <c:pt idx="14">
                    <c:v>Biologija </c:v>
                  </c:pt>
                  <c:pt idx="16">
                    <c:v>Geografija </c:v>
                  </c:pt>
                </c:lvl>
              </c:multiLvlStrCache>
            </c:multiLvlStrRef>
          </c:cat>
          <c:val>
            <c:numRef>
              <c:f>Lapas3!$R$5:$AI$5</c:f>
              <c:numCache>
                <c:formatCode>General</c:formatCode>
                <c:ptCount val="18"/>
                <c:pt idx="0">
                  <c:v>7.34</c:v>
                </c:pt>
                <c:pt idx="1">
                  <c:v>5.76</c:v>
                </c:pt>
                <c:pt idx="2">
                  <c:v>11.67</c:v>
                </c:pt>
                <c:pt idx="3">
                  <c:v>10.08</c:v>
                </c:pt>
                <c:pt idx="4">
                  <c:v>10.38</c:v>
                </c:pt>
                <c:pt idx="5">
                  <c:v>0.51</c:v>
                </c:pt>
                <c:pt idx="6">
                  <c:v>11.67</c:v>
                </c:pt>
                <c:pt idx="7">
                  <c:v>8.9500000000000028</c:v>
                </c:pt>
                <c:pt idx="8">
                  <c:v>2.09</c:v>
                </c:pt>
                <c:pt idx="9">
                  <c:v>3.82</c:v>
                </c:pt>
                <c:pt idx="10">
                  <c:v>0.81</c:v>
                </c:pt>
                <c:pt idx="11">
                  <c:v>0.25</c:v>
                </c:pt>
                <c:pt idx="12">
                  <c:v>3.3</c:v>
                </c:pt>
                <c:pt idx="13">
                  <c:v>4.4700000000000024</c:v>
                </c:pt>
                <c:pt idx="14">
                  <c:v>3.23</c:v>
                </c:pt>
                <c:pt idx="15">
                  <c:v>4.17</c:v>
                </c:pt>
                <c:pt idx="16">
                  <c:v>1.6500000000000001</c:v>
                </c:pt>
                <c:pt idx="17">
                  <c:v>1.9100000000000001</c:v>
                </c:pt>
              </c:numCache>
            </c:numRef>
          </c:val>
        </c:ser>
        <c:ser>
          <c:idx val="1"/>
          <c:order val="1"/>
          <c:tx>
            <c:strRef>
              <c:f>Lapas3!$Q$6</c:f>
              <c:strCache>
                <c:ptCount val="1"/>
                <c:pt idx="0">
                  <c:v>Rietavo sav.</c:v>
                </c:pt>
              </c:strCache>
            </c:strRef>
          </c:tx>
          <c:spPr>
            <a:solidFill>
              <a:srgbClr val="FFFF00"/>
            </a:solidFill>
          </c:spPr>
          <c:dLbls>
            <c:txPr>
              <a:bodyPr/>
              <a:lstStyle/>
              <a:p>
                <a:pPr>
                  <a:defRPr lang="en-US" sz="600"/>
                </a:pPr>
                <a:endParaRPr lang="lt-LT"/>
              </a:p>
            </c:txPr>
            <c:showVal val="1"/>
          </c:dLbls>
          <c:cat>
            <c:multiLvlStrRef>
              <c:f>Lapas3!$R$3:$AI$4</c:f>
              <c:multiLvlStrCache>
                <c:ptCount val="18"/>
                <c:lvl>
                  <c:pt idx="0">
                    <c:v>2014</c:v>
                  </c:pt>
                  <c:pt idx="1">
                    <c:v>2015</c:v>
                  </c:pt>
                  <c:pt idx="2">
                    <c:v>2014</c:v>
                  </c:pt>
                  <c:pt idx="3">
                    <c:v>2015</c:v>
                  </c:pt>
                  <c:pt idx="4">
                    <c:v>2014</c:v>
                  </c:pt>
                  <c:pt idx="5">
                    <c:v>2015</c:v>
                  </c:pt>
                  <c:pt idx="6">
                    <c:v>2014</c:v>
                  </c:pt>
                  <c:pt idx="7">
                    <c:v>2015</c:v>
                  </c:pt>
                  <c:pt idx="8">
                    <c:v>2014</c:v>
                  </c:pt>
                  <c:pt idx="9">
                    <c:v>2015</c:v>
                  </c:pt>
                  <c:pt idx="10">
                    <c:v>2014</c:v>
                  </c:pt>
                  <c:pt idx="11">
                    <c:v>2015</c:v>
                  </c:pt>
                  <c:pt idx="12">
                    <c:v>2014</c:v>
                  </c:pt>
                  <c:pt idx="13">
                    <c:v>2015</c:v>
                  </c:pt>
                  <c:pt idx="14">
                    <c:v>2014</c:v>
                  </c:pt>
                  <c:pt idx="15">
                    <c:v>2015</c:v>
                  </c:pt>
                  <c:pt idx="16">
                    <c:v>2014</c:v>
                  </c:pt>
                  <c:pt idx="17">
                    <c:v>2015</c:v>
                  </c:pt>
                </c:lvl>
                <c:lvl>
                  <c:pt idx="0">
                    <c:v>Informacinės technologijos </c:v>
                  </c:pt>
                  <c:pt idx="2">
                    <c:v>Lietuvių k. </c:v>
                  </c:pt>
                  <c:pt idx="4">
                    <c:v>Istorija </c:v>
                  </c:pt>
                  <c:pt idx="6">
                    <c:v>Matematika </c:v>
                  </c:pt>
                  <c:pt idx="8">
                    <c:v>Chemija </c:v>
                  </c:pt>
                  <c:pt idx="10">
                    <c:v>Anglų k. </c:v>
                  </c:pt>
                  <c:pt idx="12">
                    <c:v>Fizika </c:v>
                  </c:pt>
                  <c:pt idx="14">
                    <c:v>Biologija </c:v>
                  </c:pt>
                  <c:pt idx="16">
                    <c:v>Geografija </c:v>
                  </c:pt>
                </c:lvl>
              </c:multiLvlStrCache>
            </c:multiLvlStrRef>
          </c:cat>
          <c:val>
            <c:numRef>
              <c:f>Lapas3!$R$6:$AI$6</c:f>
              <c:numCache>
                <c:formatCode>General</c:formatCode>
                <c:ptCount val="18"/>
                <c:pt idx="0">
                  <c:v>10.53</c:v>
                </c:pt>
                <c:pt idx="1">
                  <c:v>30</c:v>
                </c:pt>
                <c:pt idx="2">
                  <c:v>18.75</c:v>
                </c:pt>
                <c:pt idx="3">
                  <c:v>23.4</c:v>
                </c:pt>
                <c:pt idx="4">
                  <c:v>15.79</c:v>
                </c:pt>
                <c:pt idx="5">
                  <c:v>0</c:v>
                </c:pt>
                <c:pt idx="6">
                  <c:v>24.62</c:v>
                </c:pt>
                <c:pt idx="7">
                  <c:v>23.259999999999987</c:v>
                </c:pt>
                <c:pt idx="8">
                  <c:v>0</c:v>
                </c:pt>
                <c:pt idx="9">
                  <c:v>100</c:v>
                </c:pt>
                <c:pt idx="10">
                  <c:v>0</c:v>
                </c:pt>
                <c:pt idx="11">
                  <c:v>1.85</c:v>
                </c:pt>
                <c:pt idx="12">
                  <c:v>8.33</c:v>
                </c:pt>
                <c:pt idx="13">
                  <c:v>18.75</c:v>
                </c:pt>
                <c:pt idx="14">
                  <c:v>4.3499999999999996</c:v>
                </c:pt>
                <c:pt idx="15">
                  <c:v>10.53</c:v>
                </c:pt>
                <c:pt idx="16">
                  <c:v>0</c:v>
                </c:pt>
                <c:pt idx="17">
                  <c:v>0</c:v>
                </c:pt>
              </c:numCache>
            </c:numRef>
          </c:val>
        </c:ser>
        <c:ser>
          <c:idx val="2"/>
          <c:order val="2"/>
          <c:tx>
            <c:strRef>
              <c:f>Lapas3!$Q$7</c:f>
              <c:strCache>
                <c:ptCount val="1"/>
                <c:pt idx="0">
                  <c:v>Rietavo Lauryno Ivinskio gimn.</c:v>
                </c:pt>
              </c:strCache>
            </c:strRef>
          </c:tx>
          <c:spPr>
            <a:solidFill>
              <a:srgbClr val="0000FF"/>
            </a:solidFill>
          </c:spPr>
          <c:dLbls>
            <c:txPr>
              <a:bodyPr/>
              <a:lstStyle/>
              <a:p>
                <a:pPr>
                  <a:defRPr lang="en-US" sz="600"/>
                </a:pPr>
                <a:endParaRPr lang="lt-LT"/>
              </a:p>
            </c:txPr>
            <c:showVal val="1"/>
          </c:dLbls>
          <c:cat>
            <c:multiLvlStrRef>
              <c:f>Lapas3!$R$3:$AI$4</c:f>
              <c:multiLvlStrCache>
                <c:ptCount val="18"/>
                <c:lvl>
                  <c:pt idx="0">
                    <c:v>2014</c:v>
                  </c:pt>
                  <c:pt idx="1">
                    <c:v>2015</c:v>
                  </c:pt>
                  <c:pt idx="2">
                    <c:v>2014</c:v>
                  </c:pt>
                  <c:pt idx="3">
                    <c:v>2015</c:v>
                  </c:pt>
                  <c:pt idx="4">
                    <c:v>2014</c:v>
                  </c:pt>
                  <c:pt idx="5">
                    <c:v>2015</c:v>
                  </c:pt>
                  <c:pt idx="6">
                    <c:v>2014</c:v>
                  </c:pt>
                  <c:pt idx="7">
                    <c:v>2015</c:v>
                  </c:pt>
                  <c:pt idx="8">
                    <c:v>2014</c:v>
                  </c:pt>
                  <c:pt idx="9">
                    <c:v>2015</c:v>
                  </c:pt>
                  <c:pt idx="10">
                    <c:v>2014</c:v>
                  </c:pt>
                  <c:pt idx="11">
                    <c:v>2015</c:v>
                  </c:pt>
                  <c:pt idx="12">
                    <c:v>2014</c:v>
                  </c:pt>
                  <c:pt idx="13">
                    <c:v>2015</c:v>
                  </c:pt>
                  <c:pt idx="14">
                    <c:v>2014</c:v>
                  </c:pt>
                  <c:pt idx="15">
                    <c:v>2015</c:v>
                  </c:pt>
                  <c:pt idx="16">
                    <c:v>2014</c:v>
                  </c:pt>
                  <c:pt idx="17">
                    <c:v>2015</c:v>
                  </c:pt>
                </c:lvl>
                <c:lvl>
                  <c:pt idx="0">
                    <c:v>Informacinės technologijos </c:v>
                  </c:pt>
                  <c:pt idx="2">
                    <c:v>Lietuvių k. </c:v>
                  </c:pt>
                  <c:pt idx="4">
                    <c:v>Istorija </c:v>
                  </c:pt>
                  <c:pt idx="6">
                    <c:v>Matematika </c:v>
                  </c:pt>
                  <c:pt idx="8">
                    <c:v>Chemija </c:v>
                  </c:pt>
                  <c:pt idx="10">
                    <c:v>Anglų k. </c:v>
                  </c:pt>
                  <c:pt idx="12">
                    <c:v>Fizika </c:v>
                  </c:pt>
                  <c:pt idx="14">
                    <c:v>Biologija </c:v>
                  </c:pt>
                  <c:pt idx="16">
                    <c:v>Geografija </c:v>
                  </c:pt>
                </c:lvl>
              </c:multiLvlStrCache>
            </c:multiLvlStrRef>
          </c:cat>
          <c:val>
            <c:numRef>
              <c:f>Lapas3!$R$7:$AI$7</c:f>
              <c:numCache>
                <c:formatCode>General</c:formatCode>
                <c:ptCount val="18"/>
                <c:pt idx="0">
                  <c:v>10.53</c:v>
                </c:pt>
                <c:pt idx="1">
                  <c:v>30</c:v>
                </c:pt>
                <c:pt idx="2">
                  <c:v>12.729999999999999</c:v>
                </c:pt>
                <c:pt idx="3">
                  <c:v>26.19</c:v>
                </c:pt>
                <c:pt idx="4">
                  <c:v>15.62</c:v>
                </c:pt>
                <c:pt idx="5">
                  <c:v>0</c:v>
                </c:pt>
                <c:pt idx="6">
                  <c:v>28.57</c:v>
                </c:pt>
                <c:pt idx="7">
                  <c:v>27.03</c:v>
                </c:pt>
                <c:pt idx="8">
                  <c:v>0</c:v>
                </c:pt>
                <c:pt idx="9">
                  <c:v>100</c:v>
                </c:pt>
                <c:pt idx="10">
                  <c:v>0</c:v>
                </c:pt>
                <c:pt idx="11">
                  <c:v>2.38</c:v>
                </c:pt>
                <c:pt idx="12">
                  <c:v>10.53</c:v>
                </c:pt>
                <c:pt idx="13">
                  <c:v>20</c:v>
                </c:pt>
                <c:pt idx="14">
                  <c:v>0</c:v>
                </c:pt>
                <c:pt idx="15">
                  <c:v>7.14</c:v>
                </c:pt>
                <c:pt idx="16">
                  <c:v>0</c:v>
                </c:pt>
                <c:pt idx="17">
                  <c:v>0</c:v>
                </c:pt>
              </c:numCache>
            </c:numRef>
          </c:val>
        </c:ser>
        <c:ser>
          <c:idx val="3"/>
          <c:order val="3"/>
          <c:tx>
            <c:strRef>
              <c:f>Lapas3!$Q$8</c:f>
              <c:strCache>
                <c:ptCount val="1"/>
                <c:pt idx="0">
                  <c:v>Tverų gimn.</c:v>
                </c:pt>
              </c:strCache>
            </c:strRef>
          </c:tx>
          <c:spPr>
            <a:solidFill>
              <a:srgbClr val="800080"/>
            </a:solidFill>
          </c:spPr>
          <c:dLbls>
            <c:txPr>
              <a:bodyPr/>
              <a:lstStyle/>
              <a:p>
                <a:pPr>
                  <a:defRPr lang="en-US" sz="600"/>
                </a:pPr>
                <a:endParaRPr lang="lt-LT"/>
              </a:p>
            </c:txPr>
            <c:showVal val="1"/>
          </c:dLbls>
          <c:cat>
            <c:multiLvlStrRef>
              <c:f>Lapas3!$R$3:$AI$4</c:f>
              <c:multiLvlStrCache>
                <c:ptCount val="18"/>
                <c:lvl>
                  <c:pt idx="0">
                    <c:v>2014</c:v>
                  </c:pt>
                  <c:pt idx="1">
                    <c:v>2015</c:v>
                  </c:pt>
                  <c:pt idx="2">
                    <c:v>2014</c:v>
                  </c:pt>
                  <c:pt idx="3">
                    <c:v>2015</c:v>
                  </c:pt>
                  <c:pt idx="4">
                    <c:v>2014</c:v>
                  </c:pt>
                  <c:pt idx="5">
                    <c:v>2015</c:v>
                  </c:pt>
                  <c:pt idx="6">
                    <c:v>2014</c:v>
                  </c:pt>
                  <c:pt idx="7">
                    <c:v>2015</c:v>
                  </c:pt>
                  <c:pt idx="8">
                    <c:v>2014</c:v>
                  </c:pt>
                  <c:pt idx="9">
                    <c:v>2015</c:v>
                  </c:pt>
                  <c:pt idx="10">
                    <c:v>2014</c:v>
                  </c:pt>
                  <c:pt idx="11">
                    <c:v>2015</c:v>
                  </c:pt>
                  <c:pt idx="12">
                    <c:v>2014</c:v>
                  </c:pt>
                  <c:pt idx="13">
                    <c:v>2015</c:v>
                  </c:pt>
                  <c:pt idx="14">
                    <c:v>2014</c:v>
                  </c:pt>
                  <c:pt idx="15">
                    <c:v>2015</c:v>
                  </c:pt>
                  <c:pt idx="16">
                    <c:v>2014</c:v>
                  </c:pt>
                  <c:pt idx="17">
                    <c:v>2015</c:v>
                  </c:pt>
                </c:lvl>
                <c:lvl>
                  <c:pt idx="0">
                    <c:v>Informacinės technologijos </c:v>
                  </c:pt>
                  <c:pt idx="2">
                    <c:v>Lietuvių k. </c:v>
                  </c:pt>
                  <c:pt idx="4">
                    <c:v>Istorija </c:v>
                  </c:pt>
                  <c:pt idx="6">
                    <c:v>Matematika </c:v>
                  </c:pt>
                  <c:pt idx="8">
                    <c:v>Chemija </c:v>
                  </c:pt>
                  <c:pt idx="10">
                    <c:v>Anglų k. </c:v>
                  </c:pt>
                  <c:pt idx="12">
                    <c:v>Fizika </c:v>
                  </c:pt>
                  <c:pt idx="14">
                    <c:v>Biologija </c:v>
                  </c:pt>
                  <c:pt idx="16">
                    <c:v>Geografija </c:v>
                  </c:pt>
                </c:lvl>
              </c:multiLvlStrCache>
            </c:multiLvlStrRef>
          </c:cat>
          <c:val>
            <c:numRef>
              <c:f>Lapas3!$R$8:$AI$8</c:f>
              <c:numCache>
                <c:formatCode>General</c:formatCode>
                <c:ptCount val="18"/>
                <c:pt idx="0">
                  <c:v>0</c:v>
                </c:pt>
                <c:pt idx="1">
                  <c:v>0</c:v>
                </c:pt>
                <c:pt idx="2">
                  <c:v>55.56</c:v>
                </c:pt>
                <c:pt idx="3">
                  <c:v>0</c:v>
                </c:pt>
                <c:pt idx="4">
                  <c:v>16.670000000000005</c:v>
                </c:pt>
                <c:pt idx="5">
                  <c:v>0</c:v>
                </c:pt>
                <c:pt idx="6">
                  <c:v>0</c:v>
                </c:pt>
                <c:pt idx="7">
                  <c:v>0</c:v>
                </c:pt>
                <c:pt idx="8">
                  <c:v>0</c:v>
                </c:pt>
                <c:pt idx="9">
                  <c:v>0</c:v>
                </c:pt>
                <c:pt idx="10">
                  <c:v>0</c:v>
                </c:pt>
                <c:pt idx="11">
                  <c:v>0</c:v>
                </c:pt>
                <c:pt idx="12">
                  <c:v>0</c:v>
                </c:pt>
                <c:pt idx="13">
                  <c:v>0</c:v>
                </c:pt>
                <c:pt idx="14">
                  <c:v>14.29</c:v>
                </c:pt>
                <c:pt idx="15">
                  <c:v>20</c:v>
                </c:pt>
                <c:pt idx="16">
                  <c:v>0</c:v>
                </c:pt>
                <c:pt idx="17">
                  <c:v>0</c:v>
                </c:pt>
              </c:numCache>
            </c:numRef>
          </c:val>
        </c:ser>
        <c:dLbls>
          <c:showVal val="1"/>
        </c:dLbls>
        <c:gapWidth val="75"/>
        <c:overlap val="-25"/>
        <c:axId val="188456960"/>
        <c:axId val="188458496"/>
      </c:barChart>
      <c:catAx>
        <c:axId val="188456960"/>
        <c:scaling>
          <c:orientation val="minMax"/>
        </c:scaling>
        <c:axPos val="b"/>
        <c:numFmt formatCode="General" sourceLinked="1"/>
        <c:majorTickMark val="none"/>
        <c:tickLblPos val="nextTo"/>
        <c:spPr>
          <a:solidFill>
            <a:srgbClr val="CCECFF"/>
          </a:solidFill>
        </c:spPr>
        <c:txPr>
          <a:bodyPr/>
          <a:lstStyle/>
          <a:p>
            <a:pPr>
              <a:defRPr lang="en-US" sz="800">
                <a:latin typeface="Times New Roman" pitchFamily="18" charset="0"/>
                <a:cs typeface="Times New Roman" pitchFamily="18" charset="0"/>
              </a:defRPr>
            </a:pPr>
            <a:endParaRPr lang="lt-LT"/>
          </a:p>
        </c:txPr>
        <c:crossAx val="188458496"/>
        <c:crosses val="autoZero"/>
        <c:auto val="1"/>
        <c:lblAlgn val="ctr"/>
        <c:lblOffset val="100"/>
      </c:catAx>
      <c:valAx>
        <c:axId val="188458496"/>
        <c:scaling>
          <c:orientation val="minMax"/>
        </c:scaling>
        <c:axPos val="l"/>
        <c:majorGridlines/>
        <c:numFmt formatCode="General" sourceLinked="1"/>
        <c:majorTickMark val="none"/>
        <c:tickLblPos val="nextTo"/>
        <c:spPr>
          <a:ln w="9525">
            <a:noFill/>
          </a:ln>
        </c:spPr>
        <c:txPr>
          <a:bodyPr/>
          <a:lstStyle/>
          <a:p>
            <a:pPr>
              <a:defRPr lang="en-US" sz="800"/>
            </a:pPr>
            <a:endParaRPr lang="lt-LT"/>
          </a:p>
        </c:txPr>
        <c:crossAx val="188456960"/>
        <c:crosses val="autoZero"/>
        <c:crossBetween val="between"/>
      </c:valAx>
      <c:spPr>
        <a:solidFill>
          <a:srgbClr val="CCFFCC"/>
        </a:solidFill>
      </c:spPr>
    </c:plotArea>
    <c:legend>
      <c:legendPos val="r"/>
      <c:layout>
        <c:manualLayout>
          <c:xMode val="edge"/>
          <c:yMode val="edge"/>
          <c:x val="8.7327652197426747E-2"/>
          <c:y val="0.90331022553478524"/>
          <c:w val="0.86193731311723931"/>
          <c:h val="7.1247153266147056E-2"/>
        </c:manualLayout>
      </c:layout>
      <c:txPr>
        <a:bodyPr/>
        <a:lstStyle/>
        <a:p>
          <a:pPr>
            <a:defRPr lang="en-US" sz="800">
              <a:latin typeface="Times New Roman" pitchFamily="18" charset="0"/>
              <a:cs typeface="Times New Roman" pitchFamily="18" charset="0"/>
            </a:defRPr>
          </a:pPr>
          <a:endParaRPr lang="lt-LT"/>
        </a:p>
      </c:txPr>
    </c:legend>
    <c:plotVisOnly val="1"/>
    <c:dispBlanksAs val="gap"/>
  </c:chart>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lt-LT"/>
  <c:style val="26"/>
  <c:chart>
    <c:title>
      <c:tx>
        <c:rich>
          <a:bodyPr/>
          <a:lstStyle/>
          <a:p>
            <a:pPr>
              <a:defRPr lang="en-US"/>
            </a:pPr>
            <a:r>
              <a:rPr lang="en-US"/>
              <a:t>PUPP Matematika (vidurkiai) </a:t>
            </a:r>
            <a:endParaRPr lang="lt-LT"/>
          </a:p>
        </c:rich>
      </c:tx>
    </c:title>
    <c:plotArea>
      <c:layout>
        <c:manualLayout>
          <c:layoutTarget val="inner"/>
          <c:xMode val="edge"/>
          <c:yMode val="edge"/>
          <c:x val="4.2685623579622176E-2"/>
          <c:y val="0.18665582933366118"/>
          <c:w val="0.929538618556352"/>
          <c:h val="0.5203393850314102"/>
        </c:manualLayout>
      </c:layout>
      <c:barChart>
        <c:barDir val="col"/>
        <c:grouping val="clustered"/>
        <c:ser>
          <c:idx val="0"/>
          <c:order val="0"/>
          <c:tx>
            <c:strRef>
              <c:f>Lapas1!$AE$44</c:f>
              <c:strCache>
                <c:ptCount val="1"/>
                <c:pt idx="0">
                  <c:v>Lietuva </c:v>
                </c:pt>
              </c:strCache>
            </c:strRef>
          </c:tx>
          <c:spPr>
            <a:solidFill>
              <a:srgbClr val="00B050"/>
            </a:solidFill>
          </c:spPr>
          <c:dLbls>
            <c:txPr>
              <a:bodyPr/>
              <a:lstStyle/>
              <a:p>
                <a:pPr>
                  <a:defRPr lang="en-US"/>
                </a:pPr>
                <a:endParaRPr lang="lt-LT"/>
              </a:p>
            </c:txPr>
            <c:showVal val="1"/>
          </c:dLbls>
          <c:cat>
            <c:strRef>
              <c:f>Lapas1!$AF$43:$AH$43</c:f>
              <c:strCache>
                <c:ptCount val="3"/>
                <c:pt idx="0">
                  <c:v>2015 m.</c:v>
                </c:pt>
                <c:pt idx="1">
                  <c:v>2014 m.</c:v>
                </c:pt>
                <c:pt idx="2">
                  <c:v>2013 m.</c:v>
                </c:pt>
              </c:strCache>
            </c:strRef>
          </c:cat>
          <c:val>
            <c:numRef>
              <c:f>Lapas1!$AF$44:$AH$44</c:f>
              <c:numCache>
                <c:formatCode>General</c:formatCode>
                <c:ptCount val="3"/>
                <c:pt idx="0">
                  <c:v>5.5</c:v>
                </c:pt>
                <c:pt idx="2">
                  <c:v>5.03</c:v>
                </c:pt>
              </c:numCache>
            </c:numRef>
          </c:val>
        </c:ser>
        <c:ser>
          <c:idx val="1"/>
          <c:order val="1"/>
          <c:tx>
            <c:strRef>
              <c:f>Lapas1!$AE$45</c:f>
              <c:strCache>
                <c:ptCount val="1"/>
                <c:pt idx="0">
                  <c:v>Savivaldybė</c:v>
                </c:pt>
              </c:strCache>
            </c:strRef>
          </c:tx>
          <c:spPr>
            <a:solidFill>
              <a:srgbClr val="FFFF00"/>
            </a:solidFill>
          </c:spPr>
          <c:dLbls>
            <c:txPr>
              <a:bodyPr/>
              <a:lstStyle/>
              <a:p>
                <a:pPr>
                  <a:defRPr lang="en-US"/>
                </a:pPr>
                <a:endParaRPr lang="lt-LT"/>
              </a:p>
            </c:txPr>
            <c:showVal val="1"/>
          </c:dLbls>
          <c:cat>
            <c:strRef>
              <c:f>Lapas1!$AF$43:$AH$43</c:f>
              <c:strCache>
                <c:ptCount val="3"/>
                <c:pt idx="0">
                  <c:v>2015 m.</c:v>
                </c:pt>
                <c:pt idx="1">
                  <c:v>2014 m.</c:v>
                </c:pt>
                <c:pt idx="2">
                  <c:v>2013 m.</c:v>
                </c:pt>
              </c:strCache>
            </c:strRef>
          </c:cat>
          <c:val>
            <c:numRef>
              <c:f>Lapas1!$AF$45:$AH$45</c:f>
              <c:numCache>
                <c:formatCode>0.00</c:formatCode>
                <c:ptCount val="3"/>
                <c:pt idx="0">
                  <c:v>5.1099999999999985</c:v>
                </c:pt>
                <c:pt idx="1">
                  <c:v>5.2700000000000014</c:v>
                </c:pt>
                <c:pt idx="2">
                  <c:v>4.6199999999999966</c:v>
                </c:pt>
              </c:numCache>
            </c:numRef>
          </c:val>
        </c:ser>
        <c:ser>
          <c:idx val="2"/>
          <c:order val="2"/>
          <c:tx>
            <c:strRef>
              <c:f>Lapas1!$AE$46</c:f>
              <c:strCache>
                <c:ptCount val="1"/>
                <c:pt idx="0">
                  <c:v>Rietavo Lauryno Ivinskio gimn.</c:v>
                </c:pt>
              </c:strCache>
            </c:strRef>
          </c:tx>
          <c:spPr>
            <a:solidFill>
              <a:srgbClr val="1C1FA4"/>
            </a:solidFill>
          </c:spPr>
          <c:dLbls>
            <c:txPr>
              <a:bodyPr/>
              <a:lstStyle/>
              <a:p>
                <a:pPr>
                  <a:defRPr lang="en-US"/>
                </a:pPr>
                <a:endParaRPr lang="lt-LT"/>
              </a:p>
            </c:txPr>
            <c:showVal val="1"/>
          </c:dLbls>
          <c:cat>
            <c:strRef>
              <c:f>Lapas1!$AF$43:$AH$43</c:f>
              <c:strCache>
                <c:ptCount val="3"/>
                <c:pt idx="0">
                  <c:v>2015 m.</c:v>
                </c:pt>
                <c:pt idx="1">
                  <c:v>2014 m.</c:v>
                </c:pt>
                <c:pt idx="2">
                  <c:v>2013 m.</c:v>
                </c:pt>
              </c:strCache>
            </c:strRef>
          </c:cat>
          <c:val>
            <c:numRef>
              <c:f>Lapas1!$AF$46:$AH$46</c:f>
              <c:numCache>
                <c:formatCode>0.00</c:formatCode>
                <c:ptCount val="3"/>
                <c:pt idx="0">
                  <c:v>4.75</c:v>
                </c:pt>
                <c:pt idx="1">
                  <c:v>5.3599999999999985</c:v>
                </c:pt>
                <c:pt idx="2">
                  <c:v>4.41</c:v>
                </c:pt>
              </c:numCache>
            </c:numRef>
          </c:val>
        </c:ser>
        <c:ser>
          <c:idx val="3"/>
          <c:order val="3"/>
          <c:tx>
            <c:strRef>
              <c:f>Lapas1!$AE$47</c:f>
              <c:strCache>
                <c:ptCount val="1"/>
                <c:pt idx="0">
                  <c:v>Tverų gimn.</c:v>
                </c:pt>
              </c:strCache>
            </c:strRef>
          </c:tx>
          <c:spPr>
            <a:solidFill>
              <a:srgbClr val="641CB4"/>
            </a:solidFill>
          </c:spPr>
          <c:dLbls>
            <c:txPr>
              <a:bodyPr/>
              <a:lstStyle/>
              <a:p>
                <a:pPr>
                  <a:defRPr lang="en-US"/>
                </a:pPr>
                <a:endParaRPr lang="lt-LT"/>
              </a:p>
            </c:txPr>
            <c:showVal val="1"/>
          </c:dLbls>
          <c:cat>
            <c:strRef>
              <c:f>Lapas1!$AF$43:$AH$43</c:f>
              <c:strCache>
                <c:ptCount val="3"/>
                <c:pt idx="0">
                  <c:v>2015 m.</c:v>
                </c:pt>
                <c:pt idx="1">
                  <c:v>2014 m.</c:v>
                </c:pt>
                <c:pt idx="2">
                  <c:v>2013 m.</c:v>
                </c:pt>
              </c:strCache>
            </c:strRef>
          </c:cat>
          <c:val>
            <c:numRef>
              <c:f>Lapas1!$AF$47:$AH$47</c:f>
              <c:numCache>
                <c:formatCode>0.00</c:formatCode>
                <c:ptCount val="3"/>
                <c:pt idx="0">
                  <c:v>5.29</c:v>
                </c:pt>
                <c:pt idx="1">
                  <c:v>4.13</c:v>
                </c:pt>
                <c:pt idx="2">
                  <c:v>4.2</c:v>
                </c:pt>
              </c:numCache>
            </c:numRef>
          </c:val>
        </c:ser>
        <c:ser>
          <c:idx val="4"/>
          <c:order val="4"/>
          <c:tx>
            <c:strRef>
              <c:f>Lapas1!$AE$48</c:f>
              <c:strCache>
                <c:ptCount val="1"/>
                <c:pt idx="0">
                  <c:v>Medingėnų sk.</c:v>
                </c:pt>
              </c:strCache>
            </c:strRef>
          </c:tx>
          <c:spPr>
            <a:solidFill>
              <a:srgbClr val="B519AE"/>
            </a:solidFill>
          </c:spPr>
          <c:dLbls>
            <c:txPr>
              <a:bodyPr/>
              <a:lstStyle/>
              <a:p>
                <a:pPr>
                  <a:defRPr lang="en-US"/>
                </a:pPr>
                <a:endParaRPr lang="lt-LT"/>
              </a:p>
            </c:txPr>
            <c:showVal val="1"/>
          </c:dLbls>
          <c:cat>
            <c:strRef>
              <c:f>Lapas1!$AF$43:$AH$43</c:f>
              <c:strCache>
                <c:ptCount val="3"/>
                <c:pt idx="0">
                  <c:v>2015 m.</c:v>
                </c:pt>
                <c:pt idx="1">
                  <c:v>2014 m.</c:v>
                </c:pt>
                <c:pt idx="2">
                  <c:v>2013 m.</c:v>
                </c:pt>
              </c:strCache>
            </c:strRef>
          </c:cat>
          <c:val>
            <c:numRef>
              <c:f>Lapas1!$AF$48:$AH$48</c:f>
              <c:numCache>
                <c:formatCode>0.00</c:formatCode>
                <c:ptCount val="3"/>
                <c:pt idx="0">
                  <c:v>6.71</c:v>
                </c:pt>
                <c:pt idx="1">
                  <c:v>6</c:v>
                </c:pt>
                <c:pt idx="2">
                  <c:v>6.8599999999999985</c:v>
                </c:pt>
              </c:numCache>
            </c:numRef>
          </c:val>
        </c:ser>
        <c:ser>
          <c:idx val="5"/>
          <c:order val="5"/>
          <c:tx>
            <c:strRef>
              <c:f>Lapas1!$AE$49</c:f>
              <c:strCache>
                <c:ptCount val="1"/>
                <c:pt idx="0">
                  <c:v>Žadvainių pagr. m-kla </c:v>
                </c:pt>
              </c:strCache>
            </c:strRef>
          </c:tx>
          <c:dLbls>
            <c:txPr>
              <a:bodyPr/>
              <a:lstStyle/>
              <a:p>
                <a:pPr>
                  <a:defRPr lang="en-US"/>
                </a:pPr>
                <a:endParaRPr lang="lt-LT"/>
              </a:p>
            </c:txPr>
            <c:showVal val="1"/>
          </c:dLbls>
          <c:cat>
            <c:strRef>
              <c:f>Lapas1!$AF$43:$AH$43</c:f>
              <c:strCache>
                <c:ptCount val="3"/>
                <c:pt idx="0">
                  <c:v>2015 m.</c:v>
                </c:pt>
                <c:pt idx="1">
                  <c:v>2014 m.</c:v>
                </c:pt>
                <c:pt idx="2">
                  <c:v>2013 m.</c:v>
                </c:pt>
              </c:strCache>
            </c:strRef>
          </c:cat>
          <c:val>
            <c:numRef>
              <c:f>Lapas1!$AF$49:$AH$49</c:f>
              <c:numCache>
                <c:formatCode>0.00</c:formatCode>
                <c:ptCount val="3"/>
                <c:pt idx="0">
                  <c:v>5.17</c:v>
                </c:pt>
                <c:pt idx="1">
                  <c:v>5</c:v>
                </c:pt>
                <c:pt idx="2">
                  <c:v>5.07</c:v>
                </c:pt>
              </c:numCache>
            </c:numRef>
          </c:val>
        </c:ser>
        <c:dLbls>
          <c:showVal val="1"/>
        </c:dLbls>
        <c:gapWidth val="75"/>
        <c:overlap val="-25"/>
        <c:axId val="188517760"/>
        <c:axId val="188527744"/>
      </c:barChart>
      <c:catAx>
        <c:axId val="188517760"/>
        <c:scaling>
          <c:orientation val="minMax"/>
        </c:scaling>
        <c:axPos val="b"/>
        <c:numFmt formatCode="General" sourceLinked="1"/>
        <c:majorTickMark val="none"/>
        <c:tickLblPos val="nextTo"/>
        <c:txPr>
          <a:bodyPr/>
          <a:lstStyle/>
          <a:p>
            <a:pPr>
              <a:defRPr lang="en-US"/>
            </a:pPr>
            <a:endParaRPr lang="lt-LT"/>
          </a:p>
        </c:txPr>
        <c:crossAx val="188527744"/>
        <c:crosses val="autoZero"/>
        <c:auto val="1"/>
        <c:lblAlgn val="ctr"/>
        <c:lblOffset val="100"/>
      </c:catAx>
      <c:valAx>
        <c:axId val="188527744"/>
        <c:scaling>
          <c:orientation val="minMax"/>
        </c:scaling>
        <c:axPos val="l"/>
        <c:majorGridlines/>
        <c:numFmt formatCode="General" sourceLinked="1"/>
        <c:majorTickMark val="none"/>
        <c:tickLblPos val="nextTo"/>
        <c:spPr>
          <a:ln w="9525">
            <a:noFill/>
          </a:ln>
        </c:spPr>
        <c:txPr>
          <a:bodyPr/>
          <a:lstStyle/>
          <a:p>
            <a:pPr>
              <a:defRPr lang="en-US"/>
            </a:pPr>
            <a:endParaRPr lang="lt-LT"/>
          </a:p>
        </c:txPr>
        <c:crossAx val="188517760"/>
        <c:crosses val="autoZero"/>
        <c:crossBetween val="between"/>
      </c:valAx>
    </c:plotArea>
    <c:legend>
      <c:legendPos val="r"/>
      <c:layout>
        <c:manualLayout>
          <c:xMode val="edge"/>
          <c:yMode val="edge"/>
          <c:x val="7.1378162519841956E-2"/>
          <c:y val="0.83419055147098664"/>
          <c:w val="0.87647076369669474"/>
          <c:h val="0.13019714328926571"/>
        </c:manualLayout>
      </c:layout>
      <c:txPr>
        <a:bodyPr/>
        <a:lstStyle/>
        <a:p>
          <a:pPr>
            <a:defRPr lang="en-US"/>
          </a:pPr>
          <a:endParaRPr lang="lt-LT"/>
        </a:p>
      </c:txPr>
    </c:legend>
    <c:plotVisOnly val="1"/>
    <c:dispBlanksAs val="gap"/>
  </c:chart>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lt-LT"/>
  <c:style val="26"/>
  <c:chart>
    <c:title>
      <c:tx>
        <c:rich>
          <a:bodyPr/>
          <a:lstStyle/>
          <a:p>
            <a:pPr>
              <a:defRPr lang="en-US"/>
            </a:pPr>
            <a:r>
              <a:rPr lang="en-US"/>
              <a:t>PUPP Lietuvi</a:t>
            </a:r>
            <a:r>
              <a:rPr lang="lt-LT"/>
              <a:t>ų</a:t>
            </a:r>
            <a:r>
              <a:rPr lang="lt-LT" baseline="0"/>
              <a:t> k. (vidurkiai) </a:t>
            </a:r>
            <a:endParaRPr lang="lt-LT"/>
          </a:p>
        </c:rich>
      </c:tx>
    </c:title>
    <c:plotArea>
      <c:layout>
        <c:manualLayout>
          <c:layoutTarget val="inner"/>
          <c:xMode val="edge"/>
          <c:yMode val="edge"/>
          <c:x val="5.1889399621014638E-2"/>
          <c:y val="0.20695086289391573"/>
          <c:w val="0.90446377961460156"/>
          <c:h val="0.53212417555223557"/>
        </c:manualLayout>
      </c:layout>
      <c:barChart>
        <c:barDir val="col"/>
        <c:grouping val="clustered"/>
        <c:ser>
          <c:idx val="0"/>
          <c:order val="0"/>
          <c:tx>
            <c:strRef>
              <c:f>Lapas1!$AE$54</c:f>
              <c:strCache>
                <c:ptCount val="1"/>
                <c:pt idx="0">
                  <c:v>Lietuva </c:v>
                </c:pt>
              </c:strCache>
            </c:strRef>
          </c:tx>
          <c:dPt>
            <c:idx val="0"/>
            <c:spPr>
              <a:solidFill>
                <a:srgbClr val="00B050"/>
              </a:solidFill>
            </c:spPr>
          </c:dPt>
          <c:dPt>
            <c:idx val="2"/>
            <c:spPr>
              <a:solidFill>
                <a:srgbClr val="00B050"/>
              </a:solidFill>
            </c:spPr>
          </c:dPt>
          <c:dLbls>
            <c:txPr>
              <a:bodyPr/>
              <a:lstStyle/>
              <a:p>
                <a:pPr>
                  <a:defRPr lang="en-US"/>
                </a:pPr>
                <a:endParaRPr lang="lt-LT"/>
              </a:p>
            </c:txPr>
            <c:showVal val="1"/>
          </c:dLbls>
          <c:cat>
            <c:strRef>
              <c:f>Lapas1!$AF$53:$AH$53</c:f>
              <c:strCache>
                <c:ptCount val="3"/>
                <c:pt idx="0">
                  <c:v>2015 m.</c:v>
                </c:pt>
                <c:pt idx="1">
                  <c:v>2014 m.</c:v>
                </c:pt>
                <c:pt idx="2">
                  <c:v>2013 m.</c:v>
                </c:pt>
              </c:strCache>
            </c:strRef>
          </c:cat>
          <c:val>
            <c:numRef>
              <c:f>Lapas1!$AF$54:$AH$54</c:f>
              <c:numCache>
                <c:formatCode>General</c:formatCode>
                <c:ptCount val="3"/>
                <c:pt idx="0">
                  <c:v>6.33</c:v>
                </c:pt>
                <c:pt idx="2">
                  <c:v>6.1899999999999995</c:v>
                </c:pt>
              </c:numCache>
            </c:numRef>
          </c:val>
        </c:ser>
        <c:ser>
          <c:idx val="1"/>
          <c:order val="1"/>
          <c:tx>
            <c:strRef>
              <c:f>Lapas1!$AE$55</c:f>
              <c:strCache>
                <c:ptCount val="1"/>
                <c:pt idx="0">
                  <c:v>Savivaldybė</c:v>
                </c:pt>
              </c:strCache>
            </c:strRef>
          </c:tx>
          <c:spPr>
            <a:solidFill>
              <a:srgbClr val="FFFF00"/>
            </a:solidFill>
          </c:spPr>
          <c:dLbls>
            <c:txPr>
              <a:bodyPr/>
              <a:lstStyle/>
              <a:p>
                <a:pPr>
                  <a:defRPr lang="en-US"/>
                </a:pPr>
                <a:endParaRPr lang="lt-LT"/>
              </a:p>
            </c:txPr>
            <c:showVal val="1"/>
          </c:dLbls>
          <c:cat>
            <c:strRef>
              <c:f>Lapas1!$AF$53:$AH$53</c:f>
              <c:strCache>
                <c:ptCount val="3"/>
                <c:pt idx="0">
                  <c:v>2015 m.</c:v>
                </c:pt>
                <c:pt idx="1">
                  <c:v>2014 m.</c:v>
                </c:pt>
                <c:pt idx="2">
                  <c:v>2013 m.</c:v>
                </c:pt>
              </c:strCache>
            </c:strRef>
          </c:cat>
          <c:val>
            <c:numRef>
              <c:f>Lapas1!$AF$55:$AH$55</c:f>
              <c:numCache>
                <c:formatCode>0.00</c:formatCode>
                <c:ptCount val="3"/>
                <c:pt idx="0">
                  <c:v>6.08</c:v>
                </c:pt>
                <c:pt idx="1">
                  <c:v>6.1</c:v>
                </c:pt>
                <c:pt idx="2">
                  <c:v>5.85</c:v>
                </c:pt>
              </c:numCache>
            </c:numRef>
          </c:val>
        </c:ser>
        <c:ser>
          <c:idx val="2"/>
          <c:order val="2"/>
          <c:tx>
            <c:strRef>
              <c:f>Lapas1!$AE$56</c:f>
              <c:strCache>
                <c:ptCount val="1"/>
                <c:pt idx="0">
                  <c:v>Rietavo Lauryno Ivinskio gimn.</c:v>
                </c:pt>
              </c:strCache>
            </c:strRef>
          </c:tx>
          <c:spPr>
            <a:solidFill>
              <a:srgbClr val="1C1FA4"/>
            </a:solidFill>
          </c:spPr>
          <c:dLbls>
            <c:txPr>
              <a:bodyPr/>
              <a:lstStyle/>
              <a:p>
                <a:pPr>
                  <a:defRPr lang="en-US"/>
                </a:pPr>
                <a:endParaRPr lang="lt-LT"/>
              </a:p>
            </c:txPr>
            <c:showVal val="1"/>
          </c:dLbls>
          <c:cat>
            <c:strRef>
              <c:f>Lapas1!$AF$53:$AH$53</c:f>
              <c:strCache>
                <c:ptCount val="3"/>
                <c:pt idx="0">
                  <c:v>2015 m.</c:v>
                </c:pt>
                <c:pt idx="1">
                  <c:v>2014 m.</c:v>
                </c:pt>
                <c:pt idx="2">
                  <c:v>2013 m.</c:v>
                </c:pt>
              </c:strCache>
            </c:strRef>
          </c:cat>
          <c:val>
            <c:numRef>
              <c:f>Lapas1!$AF$56:$AH$56</c:f>
              <c:numCache>
                <c:formatCode>0.00</c:formatCode>
                <c:ptCount val="3"/>
                <c:pt idx="0">
                  <c:v>6.02</c:v>
                </c:pt>
                <c:pt idx="1">
                  <c:v>6.14</c:v>
                </c:pt>
                <c:pt idx="2">
                  <c:v>5.54</c:v>
                </c:pt>
              </c:numCache>
            </c:numRef>
          </c:val>
        </c:ser>
        <c:ser>
          <c:idx val="3"/>
          <c:order val="3"/>
          <c:tx>
            <c:strRef>
              <c:f>Lapas1!$AE$57</c:f>
              <c:strCache>
                <c:ptCount val="1"/>
                <c:pt idx="0">
                  <c:v>Tverų gimn.</c:v>
                </c:pt>
              </c:strCache>
            </c:strRef>
          </c:tx>
          <c:spPr>
            <a:solidFill>
              <a:srgbClr val="641CB4"/>
            </a:solidFill>
          </c:spPr>
          <c:dLbls>
            <c:txPr>
              <a:bodyPr/>
              <a:lstStyle/>
              <a:p>
                <a:pPr>
                  <a:defRPr lang="en-US"/>
                </a:pPr>
                <a:endParaRPr lang="lt-LT"/>
              </a:p>
            </c:txPr>
            <c:showVal val="1"/>
          </c:dLbls>
          <c:cat>
            <c:strRef>
              <c:f>Lapas1!$AF$53:$AH$53</c:f>
              <c:strCache>
                <c:ptCount val="3"/>
                <c:pt idx="0">
                  <c:v>2015 m.</c:v>
                </c:pt>
                <c:pt idx="1">
                  <c:v>2014 m.</c:v>
                </c:pt>
                <c:pt idx="2">
                  <c:v>2013 m.</c:v>
                </c:pt>
              </c:strCache>
            </c:strRef>
          </c:cat>
          <c:val>
            <c:numRef>
              <c:f>Lapas1!$AF$57:$AH$57</c:f>
              <c:numCache>
                <c:formatCode>0.00</c:formatCode>
                <c:ptCount val="3"/>
                <c:pt idx="0">
                  <c:v>6.29</c:v>
                </c:pt>
                <c:pt idx="1">
                  <c:v>5.44</c:v>
                </c:pt>
                <c:pt idx="2">
                  <c:v>6.07</c:v>
                </c:pt>
              </c:numCache>
            </c:numRef>
          </c:val>
        </c:ser>
        <c:ser>
          <c:idx val="4"/>
          <c:order val="4"/>
          <c:tx>
            <c:strRef>
              <c:f>Lapas1!$AE$58</c:f>
              <c:strCache>
                <c:ptCount val="1"/>
                <c:pt idx="0">
                  <c:v>Medingėnų sk.</c:v>
                </c:pt>
              </c:strCache>
            </c:strRef>
          </c:tx>
          <c:spPr>
            <a:solidFill>
              <a:srgbClr val="B519AE"/>
            </a:solidFill>
          </c:spPr>
          <c:dLbls>
            <c:txPr>
              <a:bodyPr/>
              <a:lstStyle/>
              <a:p>
                <a:pPr>
                  <a:defRPr lang="en-US"/>
                </a:pPr>
                <a:endParaRPr lang="lt-LT"/>
              </a:p>
            </c:txPr>
            <c:showVal val="1"/>
          </c:dLbls>
          <c:cat>
            <c:strRef>
              <c:f>Lapas1!$AF$53:$AH$53</c:f>
              <c:strCache>
                <c:ptCount val="3"/>
                <c:pt idx="0">
                  <c:v>2015 m.</c:v>
                </c:pt>
                <c:pt idx="1">
                  <c:v>2014 m.</c:v>
                </c:pt>
                <c:pt idx="2">
                  <c:v>2013 m.</c:v>
                </c:pt>
              </c:strCache>
            </c:strRef>
          </c:cat>
          <c:val>
            <c:numRef>
              <c:f>Lapas1!$AF$58:$AH$58</c:f>
              <c:numCache>
                <c:formatCode>0.00</c:formatCode>
                <c:ptCount val="3"/>
                <c:pt idx="0">
                  <c:v>6.71</c:v>
                </c:pt>
                <c:pt idx="1">
                  <c:v>6.3</c:v>
                </c:pt>
                <c:pt idx="2">
                  <c:v>7.57</c:v>
                </c:pt>
              </c:numCache>
            </c:numRef>
          </c:val>
        </c:ser>
        <c:ser>
          <c:idx val="5"/>
          <c:order val="5"/>
          <c:tx>
            <c:strRef>
              <c:f>Lapas1!$AE$59</c:f>
              <c:strCache>
                <c:ptCount val="1"/>
                <c:pt idx="0">
                  <c:v>Žadvainių pagr. m-kla </c:v>
                </c:pt>
              </c:strCache>
            </c:strRef>
          </c:tx>
          <c:dLbls>
            <c:txPr>
              <a:bodyPr/>
              <a:lstStyle/>
              <a:p>
                <a:pPr>
                  <a:defRPr lang="en-US"/>
                </a:pPr>
                <a:endParaRPr lang="lt-LT"/>
              </a:p>
            </c:txPr>
            <c:showVal val="1"/>
          </c:dLbls>
          <c:cat>
            <c:strRef>
              <c:f>Lapas1!$AF$53:$AH$53</c:f>
              <c:strCache>
                <c:ptCount val="3"/>
                <c:pt idx="0">
                  <c:v>2015 m.</c:v>
                </c:pt>
                <c:pt idx="1">
                  <c:v>2014 m.</c:v>
                </c:pt>
                <c:pt idx="2">
                  <c:v>2013 m.</c:v>
                </c:pt>
              </c:strCache>
            </c:strRef>
          </c:cat>
          <c:val>
            <c:numRef>
              <c:f>Lapas1!$AF$59:$AH$59</c:f>
              <c:numCache>
                <c:formatCode>0.00</c:formatCode>
                <c:ptCount val="3"/>
                <c:pt idx="0">
                  <c:v>5.83</c:v>
                </c:pt>
                <c:pt idx="1">
                  <c:v>6.1</c:v>
                </c:pt>
                <c:pt idx="2">
                  <c:v>6.4</c:v>
                </c:pt>
              </c:numCache>
            </c:numRef>
          </c:val>
        </c:ser>
        <c:dLbls>
          <c:showVal val="1"/>
        </c:dLbls>
        <c:gapWidth val="75"/>
        <c:overlap val="-25"/>
        <c:axId val="188268544"/>
        <c:axId val="188270080"/>
      </c:barChart>
      <c:catAx>
        <c:axId val="188268544"/>
        <c:scaling>
          <c:orientation val="minMax"/>
        </c:scaling>
        <c:axPos val="b"/>
        <c:numFmt formatCode="General" sourceLinked="1"/>
        <c:majorTickMark val="none"/>
        <c:tickLblPos val="nextTo"/>
        <c:txPr>
          <a:bodyPr/>
          <a:lstStyle/>
          <a:p>
            <a:pPr>
              <a:defRPr lang="en-US"/>
            </a:pPr>
            <a:endParaRPr lang="lt-LT"/>
          </a:p>
        </c:txPr>
        <c:crossAx val="188270080"/>
        <c:crosses val="autoZero"/>
        <c:auto val="1"/>
        <c:lblAlgn val="ctr"/>
        <c:lblOffset val="100"/>
      </c:catAx>
      <c:valAx>
        <c:axId val="188270080"/>
        <c:scaling>
          <c:orientation val="minMax"/>
        </c:scaling>
        <c:axPos val="l"/>
        <c:majorGridlines/>
        <c:numFmt formatCode="General" sourceLinked="1"/>
        <c:majorTickMark val="none"/>
        <c:tickLblPos val="nextTo"/>
        <c:txPr>
          <a:bodyPr/>
          <a:lstStyle/>
          <a:p>
            <a:pPr>
              <a:defRPr lang="en-US"/>
            </a:pPr>
            <a:endParaRPr lang="lt-LT"/>
          </a:p>
        </c:txPr>
        <c:crossAx val="188268544"/>
        <c:crosses val="autoZero"/>
        <c:crossBetween val="between"/>
      </c:valAx>
    </c:plotArea>
    <c:legend>
      <c:legendPos val="r"/>
      <c:layout>
        <c:manualLayout>
          <c:xMode val="edge"/>
          <c:yMode val="edge"/>
          <c:x val="5.6790052857129923E-2"/>
          <c:y val="0.8465603842588405"/>
          <c:w val="0.88875752541530417"/>
          <c:h val="0.12910451713466917"/>
        </c:manualLayout>
      </c:layout>
      <c:txPr>
        <a:bodyPr/>
        <a:lstStyle/>
        <a:p>
          <a:pPr>
            <a:defRPr lang="en-US" sz="1000"/>
          </a:pPr>
          <a:endParaRPr lang="lt-LT"/>
        </a:p>
      </c:txPr>
    </c:legend>
    <c:plotVisOnly val="1"/>
    <c:dispBlanksAs val="gap"/>
  </c:chart>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lt-LT"/>
  <c:style val="26"/>
  <c:chart>
    <c:autoTitleDeleted val="1"/>
    <c:plotArea>
      <c:layout/>
      <c:barChart>
        <c:barDir val="bar"/>
        <c:grouping val="clustered"/>
        <c:ser>
          <c:idx val="1"/>
          <c:order val="0"/>
          <c:tx>
            <c:strRef>
              <c:f>Sheet1!$C$1</c:f>
              <c:strCache>
                <c:ptCount val="1"/>
                <c:pt idx="0">
                  <c:v>Column1</c:v>
                </c:pt>
              </c:strCache>
            </c:strRef>
          </c:tx>
          <c:cat>
            <c:strRef>
              <c:f>Sheet1!$A$2:$A$8</c:f>
              <c:strCache>
                <c:ptCount val="5"/>
                <c:pt idx="0">
                  <c:v>išduota statybą leidžiančių dokumentų</c:v>
                </c:pt>
                <c:pt idx="1">
                  <c:v>išduota specialiųjų achitektūros reikalavimų</c:v>
                </c:pt>
                <c:pt idx="2">
                  <c:v>suderinta projektų NSK</c:v>
                </c:pt>
                <c:pt idx="3">
                  <c:v>pateikta paraiškų projektavimo sąlygoms gauti</c:v>
                </c:pt>
                <c:pt idx="4">
                  <c:v>suderinta topografinių nuotraukų</c:v>
                </c:pt>
              </c:strCache>
            </c:strRef>
          </c:cat>
          <c:val>
            <c:numRef>
              <c:f>Sheet1!$C$2:$C$8</c:f>
              <c:numCache>
                <c:formatCode>General</c:formatCode>
                <c:ptCount val="7"/>
              </c:numCache>
            </c:numRef>
          </c:val>
        </c:ser>
        <c:ser>
          <c:idx val="2"/>
          <c:order val="1"/>
          <c:tx>
            <c:strRef>
              <c:f>Sheet1!$D$1</c:f>
              <c:strCache>
                <c:ptCount val="1"/>
                <c:pt idx="0">
                  <c:v>2013</c:v>
                </c:pt>
              </c:strCache>
            </c:strRef>
          </c:tx>
          <c:cat>
            <c:strRef>
              <c:f>Sheet1!$A$2:$A$8</c:f>
              <c:strCache>
                <c:ptCount val="5"/>
                <c:pt idx="0">
                  <c:v>išduota statybą leidžiančių dokumentų</c:v>
                </c:pt>
                <c:pt idx="1">
                  <c:v>išduota specialiųjų achitektūros reikalavimų</c:v>
                </c:pt>
                <c:pt idx="2">
                  <c:v>suderinta projektų NSK</c:v>
                </c:pt>
                <c:pt idx="3">
                  <c:v>pateikta paraiškų projektavimo sąlygoms gauti</c:v>
                </c:pt>
                <c:pt idx="4">
                  <c:v>suderinta topografinių nuotraukų</c:v>
                </c:pt>
              </c:strCache>
            </c:strRef>
          </c:cat>
          <c:val>
            <c:numRef>
              <c:f>Sheet1!$D$2:$D$8</c:f>
              <c:numCache>
                <c:formatCode>General</c:formatCode>
                <c:ptCount val="7"/>
                <c:pt idx="0">
                  <c:v>51</c:v>
                </c:pt>
                <c:pt idx="1">
                  <c:v>18</c:v>
                </c:pt>
                <c:pt idx="2">
                  <c:v>9</c:v>
                </c:pt>
                <c:pt idx="3">
                  <c:v>75</c:v>
                </c:pt>
                <c:pt idx="4">
                  <c:v>98</c:v>
                </c:pt>
              </c:numCache>
            </c:numRef>
          </c:val>
        </c:ser>
        <c:ser>
          <c:idx val="3"/>
          <c:order val="2"/>
          <c:tx>
            <c:strRef>
              <c:f>Sheet1!$E$1</c:f>
              <c:strCache>
                <c:ptCount val="1"/>
                <c:pt idx="0">
                  <c:v>2014</c:v>
                </c:pt>
              </c:strCache>
            </c:strRef>
          </c:tx>
          <c:cat>
            <c:strRef>
              <c:f>Sheet1!$A$2:$A$8</c:f>
              <c:strCache>
                <c:ptCount val="5"/>
                <c:pt idx="0">
                  <c:v>išduota statybą leidžiančių dokumentų</c:v>
                </c:pt>
                <c:pt idx="1">
                  <c:v>išduota specialiųjų achitektūros reikalavimų</c:v>
                </c:pt>
                <c:pt idx="2">
                  <c:v>suderinta projektų NSK</c:v>
                </c:pt>
                <c:pt idx="3">
                  <c:v>pateikta paraiškų projektavimo sąlygoms gauti</c:v>
                </c:pt>
                <c:pt idx="4">
                  <c:v>suderinta topografinių nuotraukų</c:v>
                </c:pt>
              </c:strCache>
            </c:strRef>
          </c:cat>
          <c:val>
            <c:numRef>
              <c:f>Sheet1!$E$2:$E$8</c:f>
              <c:numCache>
                <c:formatCode>General</c:formatCode>
                <c:ptCount val="7"/>
                <c:pt idx="0">
                  <c:v>43</c:v>
                </c:pt>
                <c:pt idx="1">
                  <c:v>33</c:v>
                </c:pt>
                <c:pt idx="2">
                  <c:v>2</c:v>
                </c:pt>
                <c:pt idx="3">
                  <c:v>32</c:v>
                </c:pt>
                <c:pt idx="4">
                  <c:v>95</c:v>
                </c:pt>
              </c:numCache>
            </c:numRef>
          </c:val>
        </c:ser>
        <c:ser>
          <c:idx val="4"/>
          <c:order val="3"/>
          <c:tx>
            <c:strRef>
              <c:f>Sheet1!$F$1</c:f>
              <c:strCache>
                <c:ptCount val="1"/>
                <c:pt idx="0">
                  <c:v>2015</c:v>
                </c:pt>
              </c:strCache>
            </c:strRef>
          </c:tx>
          <c:cat>
            <c:strRef>
              <c:f>Sheet1!$A$2:$A$8</c:f>
              <c:strCache>
                <c:ptCount val="5"/>
                <c:pt idx="0">
                  <c:v>išduota statybą leidžiančių dokumentų</c:v>
                </c:pt>
                <c:pt idx="1">
                  <c:v>išduota specialiųjų achitektūros reikalavimų</c:v>
                </c:pt>
                <c:pt idx="2">
                  <c:v>suderinta projektų NSK</c:v>
                </c:pt>
                <c:pt idx="3">
                  <c:v>pateikta paraiškų projektavimo sąlygoms gauti</c:v>
                </c:pt>
                <c:pt idx="4">
                  <c:v>suderinta topografinių nuotraukų</c:v>
                </c:pt>
              </c:strCache>
            </c:strRef>
          </c:cat>
          <c:val>
            <c:numRef>
              <c:f>Sheet1!$F$2:$F$8</c:f>
              <c:numCache>
                <c:formatCode>General</c:formatCode>
                <c:ptCount val="7"/>
                <c:pt idx="0">
                  <c:v>48</c:v>
                </c:pt>
                <c:pt idx="1">
                  <c:v>32</c:v>
                </c:pt>
                <c:pt idx="2">
                  <c:v>0</c:v>
                </c:pt>
                <c:pt idx="3">
                  <c:v>0</c:v>
                </c:pt>
                <c:pt idx="4">
                  <c:v>74</c:v>
                </c:pt>
              </c:numCache>
            </c:numRef>
          </c:val>
        </c:ser>
        <c:axId val="188575104"/>
        <c:axId val="188589184"/>
      </c:barChart>
      <c:catAx>
        <c:axId val="188575104"/>
        <c:scaling>
          <c:orientation val="minMax"/>
        </c:scaling>
        <c:axPos val="l"/>
        <c:numFmt formatCode="General" sourceLinked="1"/>
        <c:majorTickMark val="none"/>
        <c:tickLblPos val="nextTo"/>
        <c:txPr>
          <a:bodyPr/>
          <a:lstStyle/>
          <a:p>
            <a:pPr>
              <a:defRPr lang="lt-LT"/>
            </a:pPr>
            <a:endParaRPr lang="lt-LT"/>
          </a:p>
        </c:txPr>
        <c:crossAx val="188589184"/>
        <c:crosses val="autoZero"/>
        <c:auto val="1"/>
        <c:lblAlgn val="ctr"/>
        <c:lblOffset val="100"/>
      </c:catAx>
      <c:valAx>
        <c:axId val="188589184"/>
        <c:scaling>
          <c:orientation val="minMax"/>
        </c:scaling>
        <c:axPos val="b"/>
        <c:majorGridlines/>
        <c:numFmt formatCode="General" sourceLinked="1"/>
        <c:majorTickMark val="none"/>
        <c:tickLblPos val="nextTo"/>
        <c:txPr>
          <a:bodyPr/>
          <a:lstStyle/>
          <a:p>
            <a:pPr>
              <a:defRPr lang="lt-LT"/>
            </a:pPr>
            <a:endParaRPr lang="lt-LT"/>
          </a:p>
        </c:txPr>
        <c:crossAx val="188575104"/>
        <c:crosses val="autoZero"/>
        <c:crossBetween val="between"/>
      </c:valAx>
    </c:plotArea>
    <c:legend>
      <c:legendPos val="r"/>
      <c:legendEntry>
        <c:idx val="3"/>
        <c:delete val="1"/>
      </c:legendEntry>
      <c:txPr>
        <a:bodyPr/>
        <a:lstStyle/>
        <a:p>
          <a:pPr>
            <a:defRPr lang="lt-LT"/>
          </a:pPr>
          <a:endParaRPr lang="lt-LT"/>
        </a:p>
      </c:txPr>
    </c:legend>
    <c:plotVisOnly val="1"/>
    <c:dispBlanksAs val="gap"/>
  </c:chart>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lt-LT"/>
  <c:style val="26"/>
  <c:chart>
    <c:autoTitleDeleted val="1"/>
    <c:plotArea>
      <c:layout/>
      <c:barChart>
        <c:barDir val="bar"/>
        <c:grouping val="clustered"/>
        <c:ser>
          <c:idx val="1"/>
          <c:order val="0"/>
          <c:tx>
            <c:strRef>
              <c:f>Sheet1!$C$1</c:f>
              <c:strCache>
                <c:ptCount val="1"/>
                <c:pt idx="0">
                  <c:v>2013</c:v>
                </c:pt>
              </c:strCache>
            </c:strRef>
          </c:tx>
          <c:cat>
            <c:strRef>
              <c:f>Sheet1!$A$2:$A$5</c:f>
              <c:strCache>
                <c:ptCount val="4"/>
                <c:pt idx="0">
                  <c:v>Suderinta žemės sklypo planų                                        </c:v>
                </c:pt>
                <c:pt idx="1">
                  <c:v>Išduotos ,,Planavimo sąlygos kaimo plėtros žemėtvarkos projektui rengti“ su NKP reikalavimais</c:v>
                </c:pt>
                <c:pt idx="2">
                  <c:v>Kultūros paveldo departamento prie Kultūros ministerijos Telšių teritoriniam padaliniui  pateikta kultūros paveldo būklės patikrinimo aktų</c:v>
                </c:pt>
                <c:pt idx="3">
                  <c:v>Į Kultūros vertybių registrą įtraukta kultūros objektų</c:v>
                </c:pt>
              </c:strCache>
            </c:strRef>
          </c:cat>
          <c:val>
            <c:numRef>
              <c:f>Sheet1!$C$2:$C$5</c:f>
              <c:numCache>
                <c:formatCode>General</c:formatCode>
                <c:ptCount val="4"/>
                <c:pt idx="0">
                  <c:v>40</c:v>
                </c:pt>
                <c:pt idx="1">
                  <c:v>2</c:v>
                </c:pt>
                <c:pt idx="2">
                  <c:v>14</c:v>
                </c:pt>
                <c:pt idx="3">
                  <c:v>1</c:v>
                </c:pt>
              </c:numCache>
            </c:numRef>
          </c:val>
        </c:ser>
        <c:ser>
          <c:idx val="2"/>
          <c:order val="1"/>
          <c:tx>
            <c:strRef>
              <c:f>Sheet1!$D$1</c:f>
              <c:strCache>
                <c:ptCount val="1"/>
                <c:pt idx="0">
                  <c:v>2014</c:v>
                </c:pt>
              </c:strCache>
            </c:strRef>
          </c:tx>
          <c:cat>
            <c:strRef>
              <c:f>Sheet1!$A$2:$A$5</c:f>
              <c:strCache>
                <c:ptCount val="4"/>
                <c:pt idx="0">
                  <c:v>Suderinta žemės sklypo planų                                        </c:v>
                </c:pt>
                <c:pt idx="1">
                  <c:v>Išduotos ,,Planavimo sąlygos kaimo plėtros žemėtvarkos projektui rengti“ su NKP reikalavimais</c:v>
                </c:pt>
                <c:pt idx="2">
                  <c:v>Kultūros paveldo departamento prie Kultūros ministerijos Telšių teritoriniam padaliniui  pateikta kultūros paveldo būklės patikrinimo aktų</c:v>
                </c:pt>
                <c:pt idx="3">
                  <c:v>Į Kultūros vertybių registrą įtraukta kultūros objektų</c:v>
                </c:pt>
              </c:strCache>
            </c:strRef>
          </c:cat>
          <c:val>
            <c:numRef>
              <c:f>Sheet1!$D$2:$D$5</c:f>
              <c:numCache>
                <c:formatCode>General</c:formatCode>
                <c:ptCount val="4"/>
                <c:pt idx="0">
                  <c:v>80</c:v>
                </c:pt>
                <c:pt idx="1">
                  <c:v>0</c:v>
                </c:pt>
                <c:pt idx="2">
                  <c:v>14</c:v>
                </c:pt>
                <c:pt idx="3">
                  <c:v>3</c:v>
                </c:pt>
              </c:numCache>
            </c:numRef>
          </c:val>
        </c:ser>
        <c:ser>
          <c:idx val="3"/>
          <c:order val="2"/>
          <c:tx>
            <c:strRef>
              <c:f>Sheet1!$E$1</c:f>
              <c:strCache>
                <c:ptCount val="1"/>
                <c:pt idx="0">
                  <c:v>2015</c:v>
                </c:pt>
              </c:strCache>
            </c:strRef>
          </c:tx>
          <c:cat>
            <c:strRef>
              <c:f>Sheet1!$A$2:$A$5</c:f>
              <c:strCache>
                <c:ptCount val="4"/>
                <c:pt idx="0">
                  <c:v>Suderinta žemės sklypo planų                                        </c:v>
                </c:pt>
                <c:pt idx="1">
                  <c:v>Išduotos ,,Planavimo sąlygos kaimo plėtros žemėtvarkos projektui rengti“ su NKP reikalavimais</c:v>
                </c:pt>
                <c:pt idx="2">
                  <c:v>Kultūros paveldo departamento prie Kultūros ministerijos Telšių teritoriniam padaliniui  pateikta kultūros paveldo būklės patikrinimo aktų</c:v>
                </c:pt>
                <c:pt idx="3">
                  <c:v>Į Kultūros vertybių registrą įtraukta kultūros objektų</c:v>
                </c:pt>
              </c:strCache>
            </c:strRef>
          </c:cat>
          <c:val>
            <c:numRef>
              <c:f>Sheet1!$E$2:$E$5</c:f>
              <c:numCache>
                <c:formatCode>General</c:formatCode>
                <c:ptCount val="4"/>
                <c:pt idx="0">
                  <c:v>100</c:v>
                </c:pt>
                <c:pt idx="1">
                  <c:v>0</c:v>
                </c:pt>
                <c:pt idx="2">
                  <c:v>7</c:v>
                </c:pt>
                <c:pt idx="3">
                  <c:v>0</c:v>
                </c:pt>
              </c:numCache>
            </c:numRef>
          </c:val>
        </c:ser>
        <c:axId val="187741312"/>
        <c:axId val="187742848"/>
      </c:barChart>
      <c:catAx>
        <c:axId val="187741312"/>
        <c:scaling>
          <c:orientation val="minMax"/>
        </c:scaling>
        <c:axPos val="l"/>
        <c:numFmt formatCode="General" sourceLinked="1"/>
        <c:majorTickMark val="none"/>
        <c:tickLblPos val="nextTo"/>
        <c:crossAx val="187742848"/>
        <c:crosses val="autoZero"/>
        <c:auto val="1"/>
        <c:lblAlgn val="ctr"/>
        <c:lblOffset val="100"/>
      </c:catAx>
      <c:valAx>
        <c:axId val="187742848"/>
        <c:scaling>
          <c:orientation val="minMax"/>
        </c:scaling>
        <c:axPos val="b"/>
        <c:majorGridlines/>
        <c:numFmt formatCode="General" sourceLinked="1"/>
        <c:majorTickMark val="none"/>
        <c:tickLblPos val="nextTo"/>
        <c:crossAx val="187741312"/>
        <c:crosses val="autoZero"/>
        <c:crossBetween val="between"/>
      </c:valAx>
    </c:plotArea>
    <c:legend>
      <c:legendPos val="r"/>
    </c:legend>
    <c:plotVisOnly val="1"/>
    <c:dispBlanksAs val="gap"/>
  </c:chart>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lt-LT"/>
  <c:roundedCorners val="1"/>
  <c:chart>
    <c:title>
      <c:tx>
        <c:rich>
          <a:bodyPr/>
          <a:lstStyle/>
          <a:p>
            <a:pPr>
              <a:defRPr sz="1200" b="0" i="0" u="none" strike="noStrike" baseline="0">
                <a:solidFill>
                  <a:srgbClr val="000000"/>
                </a:solidFill>
                <a:latin typeface="Times New Roman"/>
                <a:ea typeface="Times New Roman"/>
                <a:cs typeface="Times New Roman"/>
              </a:defRPr>
            </a:pPr>
            <a:r>
              <a:rPr lang="lt-LT" sz="1400" b="1" i="0" u="none" strike="noStrike" baseline="0">
                <a:solidFill>
                  <a:srgbClr val="000000"/>
                </a:solidFill>
                <a:latin typeface="Times New Roman"/>
                <a:cs typeface="Times New Roman"/>
              </a:rPr>
              <a:t>ŠILUMOS GAMYBA IR PARDAVIMAI PER 201</a:t>
            </a:r>
            <a:r>
              <a:rPr lang="en-US" sz="1400" b="1" i="0" u="none" strike="noStrike" baseline="0">
                <a:solidFill>
                  <a:srgbClr val="000000"/>
                </a:solidFill>
                <a:latin typeface="Times New Roman"/>
                <a:cs typeface="Times New Roman"/>
              </a:rPr>
              <a:t>1</a:t>
            </a:r>
            <a:r>
              <a:rPr lang="lt-LT" sz="1400" b="1" i="0" u="none" strike="noStrike" baseline="0">
                <a:solidFill>
                  <a:srgbClr val="000000"/>
                </a:solidFill>
                <a:latin typeface="Times New Roman"/>
                <a:cs typeface="Times New Roman"/>
              </a:rPr>
              <a:t> m. - 201</a:t>
            </a:r>
            <a:r>
              <a:rPr lang="en-US" sz="1400" b="1" i="0" u="none" strike="noStrike" baseline="0">
                <a:solidFill>
                  <a:srgbClr val="000000"/>
                </a:solidFill>
                <a:latin typeface="Times New Roman"/>
                <a:cs typeface="Times New Roman"/>
              </a:rPr>
              <a:t>5</a:t>
            </a:r>
            <a:r>
              <a:rPr lang="lt-LT" sz="1400" b="1" i="0" u="none" strike="noStrike" baseline="0">
                <a:solidFill>
                  <a:srgbClr val="000000"/>
                </a:solidFill>
                <a:latin typeface="Times New Roman"/>
                <a:cs typeface="Times New Roman"/>
              </a:rPr>
              <a:t> m.</a:t>
            </a:r>
          </a:p>
          <a:p>
            <a:pPr>
              <a:defRPr sz="1200" b="0" i="0" u="none" strike="noStrike" baseline="0">
                <a:solidFill>
                  <a:srgbClr val="000000"/>
                </a:solidFill>
                <a:latin typeface="Times New Roman"/>
                <a:ea typeface="Times New Roman"/>
                <a:cs typeface="Times New Roman"/>
              </a:defRPr>
            </a:pPr>
            <a:r>
              <a:rPr lang="lt-LT" sz="1400" b="1" i="0" u="none" strike="noStrike" baseline="0">
                <a:solidFill>
                  <a:srgbClr val="000000"/>
                </a:solidFill>
                <a:latin typeface="Times New Roman"/>
                <a:cs typeface="Times New Roman"/>
              </a:rPr>
              <a:t> METUS MW/h</a:t>
            </a:r>
          </a:p>
        </c:rich>
      </c:tx>
      <c:spPr>
        <a:noFill/>
        <a:ln w="25400">
          <a:noFill/>
        </a:ln>
      </c:spPr>
    </c:title>
    <c:plotArea>
      <c:layout/>
      <c:lineChart>
        <c:grouping val="standard"/>
        <c:ser>
          <c:idx val="1"/>
          <c:order val="0"/>
          <c:tx>
            <c:strRef>
              <c:f>'Veikla 01-12'!$B$92</c:f>
              <c:strCache>
                <c:ptCount val="1"/>
                <c:pt idx="0">
                  <c:v>Pagaminta šil. energijos MW/h</c:v>
                </c:pt>
              </c:strCache>
            </c:strRef>
          </c:tx>
          <c:spPr>
            <a:ln w="38100">
              <a:solidFill>
                <a:srgbClr val="FF00FF"/>
              </a:solidFill>
              <a:prstDash val="solid"/>
            </a:ln>
          </c:spPr>
          <c:marker>
            <c:symbol val="square"/>
            <c:size val="9"/>
            <c:spPr>
              <a:solidFill>
                <a:srgbClr val="FF00FF"/>
              </a:solidFill>
              <a:ln>
                <a:solidFill>
                  <a:srgbClr val="FF00FF"/>
                </a:solidFill>
                <a:prstDash val="solid"/>
              </a:ln>
            </c:spPr>
          </c:marker>
          <c:dLbls>
            <c:dLblPos val="t"/>
            <c:showVal val="1"/>
          </c:dLbls>
          <c:cat>
            <c:strRef>
              <c:f>'Veikla 01-12'!$M$75:$Q$75</c:f>
              <c:strCache>
                <c:ptCount val="5"/>
                <c:pt idx="0">
                  <c:v>2011 m.</c:v>
                </c:pt>
                <c:pt idx="1">
                  <c:v>2012 m.</c:v>
                </c:pt>
                <c:pt idx="2">
                  <c:v>2013 m.</c:v>
                </c:pt>
                <c:pt idx="3">
                  <c:v>2014 m.</c:v>
                </c:pt>
                <c:pt idx="4">
                  <c:v>2015</c:v>
                </c:pt>
              </c:strCache>
            </c:strRef>
          </c:cat>
          <c:val>
            <c:numRef>
              <c:f>'Veikla 01-12'!$M$92:$Q$92</c:f>
              <c:numCache>
                <c:formatCode>0.00</c:formatCode>
                <c:ptCount val="5"/>
                <c:pt idx="0">
                  <c:v>11.618309999999999</c:v>
                </c:pt>
                <c:pt idx="1">
                  <c:v>11.101209999999998</c:v>
                </c:pt>
                <c:pt idx="2">
                  <c:v>10.062850000000006</c:v>
                </c:pt>
                <c:pt idx="3">
                  <c:v>10.200259999999998</c:v>
                </c:pt>
                <c:pt idx="4">
                  <c:v>9.9409900000000011</c:v>
                </c:pt>
              </c:numCache>
            </c:numRef>
          </c:val>
        </c:ser>
        <c:ser>
          <c:idx val="2"/>
          <c:order val="1"/>
          <c:tx>
            <c:strRef>
              <c:f>'Veikla 01-12'!$B$93</c:f>
              <c:strCache>
                <c:ptCount val="1"/>
                <c:pt idx="0">
                  <c:v>Pardavimai - MW/h</c:v>
                </c:pt>
              </c:strCache>
            </c:strRef>
          </c:tx>
          <c:spPr>
            <a:ln w="38100">
              <a:solidFill>
                <a:srgbClr val="008000"/>
              </a:solidFill>
              <a:prstDash val="solid"/>
            </a:ln>
          </c:spPr>
          <c:marker>
            <c:symbol val="triangle"/>
            <c:size val="9"/>
            <c:spPr>
              <a:solidFill>
                <a:srgbClr val="008000"/>
              </a:solidFill>
              <a:ln>
                <a:solidFill>
                  <a:srgbClr val="008000"/>
                </a:solidFill>
                <a:prstDash val="solid"/>
              </a:ln>
            </c:spPr>
          </c:marker>
          <c:dLbls>
            <c:dLblPos val="t"/>
            <c:showVal val="1"/>
          </c:dLbls>
          <c:cat>
            <c:strRef>
              <c:f>'Veikla 01-12'!$M$75:$Q$75</c:f>
              <c:strCache>
                <c:ptCount val="5"/>
                <c:pt idx="0">
                  <c:v>2011 m.</c:v>
                </c:pt>
                <c:pt idx="1">
                  <c:v>2012 m.</c:v>
                </c:pt>
                <c:pt idx="2">
                  <c:v>2013 m.</c:v>
                </c:pt>
                <c:pt idx="3">
                  <c:v>2014 m.</c:v>
                </c:pt>
                <c:pt idx="4">
                  <c:v>2015</c:v>
                </c:pt>
              </c:strCache>
            </c:strRef>
          </c:cat>
          <c:val>
            <c:numRef>
              <c:f>'Veikla 01-12'!$M$93:$Q$93</c:f>
              <c:numCache>
                <c:formatCode>0.00</c:formatCode>
                <c:ptCount val="5"/>
                <c:pt idx="0">
                  <c:v>7.5204899999999855</c:v>
                </c:pt>
                <c:pt idx="1">
                  <c:v>7.3928999999999965</c:v>
                </c:pt>
                <c:pt idx="2">
                  <c:v>7.3231299999999955</c:v>
                </c:pt>
                <c:pt idx="3">
                  <c:v>6.5848199999999855</c:v>
                </c:pt>
                <c:pt idx="4">
                  <c:v>5.7914700000000003</c:v>
                </c:pt>
              </c:numCache>
            </c:numRef>
          </c:val>
        </c:ser>
        <c:ser>
          <c:idx val="3"/>
          <c:order val="2"/>
          <c:tx>
            <c:strRef>
              <c:f>'Veikla 01-12'!$B$94</c:f>
              <c:strCache>
                <c:ptCount val="1"/>
                <c:pt idx="0">
                  <c:v>nuostoliai %</c:v>
                </c:pt>
              </c:strCache>
            </c:strRef>
          </c:tx>
          <c:dLbls>
            <c:showVal val="1"/>
          </c:dLbls>
          <c:cat>
            <c:strRef>
              <c:f>'Veikla 01-12'!$M$75:$Q$75</c:f>
              <c:strCache>
                <c:ptCount val="5"/>
                <c:pt idx="0">
                  <c:v>2011 m.</c:v>
                </c:pt>
                <c:pt idx="1">
                  <c:v>2012 m.</c:v>
                </c:pt>
                <c:pt idx="2">
                  <c:v>2013 m.</c:v>
                </c:pt>
                <c:pt idx="3">
                  <c:v>2014 m.</c:v>
                </c:pt>
                <c:pt idx="4">
                  <c:v>2015</c:v>
                </c:pt>
              </c:strCache>
            </c:strRef>
          </c:cat>
          <c:val>
            <c:numRef>
              <c:f>'Veikla 01-12'!$M$94:$Q$94</c:f>
              <c:numCache>
                <c:formatCode>0.00</c:formatCode>
                <c:ptCount val="5"/>
                <c:pt idx="0">
                  <c:v>33.339999999999996</c:v>
                </c:pt>
                <c:pt idx="1">
                  <c:v>30.59</c:v>
                </c:pt>
                <c:pt idx="2">
                  <c:v>22.36</c:v>
                </c:pt>
                <c:pt idx="3">
                  <c:v>31.08</c:v>
                </c:pt>
                <c:pt idx="4">
                  <c:v>38.770000000000003</c:v>
                </c:pt>
              </c:numCache>
            </c:numRef>
          </c:val>
        </c:ser>
        <c:ser>
          <c:idx val="4"/>
          <c:order val="3"/>
          <c:tx>
            <c:strRef>
              <c:f>'Veikla 01-12'!$B$95</c:f>
              <c:strCache>
                <c:ptCount val="1"/>
                <c:pt idx="0">
                  <c:v>Nuostoliai - MW/h</c:v>
                </c:pt>
              </c:strCache>
            </c:strRef>
          </c:tx>
          <c:dLbls>
            <c:dLblPos val="b"/>
            <c:showVal val="1"/>
          </c:dLbls>
          <c:cat>
            <c:strRef>
              <c:f>'Veikla 01-12'!$M$75:$Q$75</c:f>
              <c:strCache>
                <c:ptCount val="5"/>
                <c:pt idx="0">
                  <c:v>2011 m.</c:v>
                </c:pt>
                <c:pt idx="1">
                  <c:v>2012 m.</c:v>
                </c:pt>
                <c:pt idx="2">
                  <c:v>2013 m.</c:v>
                </c:pt>
                <c:pt idx="3">
                  <c:v>2014 m.</c:v>
                </c:pt>
                <c:pt idx="4">
                  <c:v>2015</c:v>
                </c:pt>
              </c:strCache>
            </c:strRef>
          </c:cat>
          <c:val>
            <c:numRef>
              <c:f>'Veikla 01-12'!$M$95:$Q$95</c:f>
              <c:numCache>
                <c:formatCode>0.00</c:formatCode>
                <c:ptCount val="5"/>
                <c:pt idx="0">
                  <c:v>3.7869100000000002</c:v>
                </c:pt>
                <c:pt idx="1">
                  <c:v>3.2901699999999998</c:v>
                </c:pt>
                <c:pt idx="2">
                  <c:v>2.1353399999999998</c:v>
                </c:pt>
                <c:pt idx="3">
                  <c:v>3.0144599999999842</c:v>
                </c:pt>
                <c:pt idx="4">
                  <c:v>3.7246600000000001</c:v>
                </c:pt>
              </c:numCache>
            </c:numRef>
          </c:val>
        </c:ser>
        <c:dLbls>
          <c:showVal val="1"/>
        </c:dLbls>
        <c:marker val="1"/>
        <c:axId val="188972032"/>
        <c:axId val="188986112"/>
      </c:lineChart>
      <c:catAx>
        <c:axId val="188972032"/>
        <c:scaling>
          <c:orientation val="minMax"/>
        </c:scaling>
        <c:axPos val="b"/>
        <c:numFmt formatCode="General" sourceLinked="1"/>
        <c:maj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188986112"/>
        <c:crossesAt val="0"/>
        <c:auto val="1"/>
        <c:lblAlgn val="ctr"/>
        <c:lblOffset val="100"/>
        <c:tickLblSkip val="1"/>
        <c:tickMarkSkip val="1"/>
      </c:catAx>
      <c:valAx>
        <c:axId val="188986112"/>
        <c:scaling>
          <c:orientation val="minMax"/>
          <c:max val="20"/>
        </c:scaling>
        <c:delete val="1"/>
        <c:axPos val="l"/>
        <c:numFmt formatCode="0.00" sourceLinked="1"/>
        <c:tickLblPos val="none"/>
        <c:crossAx val="188972032"/>
        <c:crosses val="autoZero"/>
        <c:crossBetween val="between"/>
        <c:majorUnit val="5"/>
        <c:minorUnit val="0.4"/>
      </c:valAx>
      <c:spPr>
        <a:gradFill rotWithShape="0">
          <a:gsLst>
            <a:gs pos="0">
              <a:srgbClr val="FBEAC7"/>
            </a:gs>
            <a:gs pos="17999">
              <a:srgbClr val="FEE7F2"/>
            </a:gs>
            <a:gs pos="36000">
              <a:srgbClr val="FAC77D"/>
            </a:gs>
            <a:gs pos="61000">
              <a:srgbClr val="FBA97D"/>
            </a:gs>
            <a:gs pos="82001">
              <a:srgbClr val="FBD49C"/>
            </a:gs>
            <a:gs pos="100000">
              <a:srgbClr val="FEE7F2"/>
            </a:gs>
          </a:gsLst>
          <a:lin ang="5400000" scaled="1"/>
        </a:gradFill>
        <a:ln w="12700">
          <a:solidFill>
            <a:srgbClr val="808080"/>
          </a:solidFill>
          <a:prstDash val="solid"/>
        </a:ln>
      </c:spPr>
    </c:plotArea>
    <c:legend>
      <c:legendPos val="t"/>
      <c:legendEntry>
        <c:idx val="2"/>
        <c:delete val="1"/>
      </c:legendEntry>
    </c:legend>
    <c:plotVisOnly val="1"/>
    <c:dispBlanksAs val="gap"/>
  </c:chart>
  <c:spPr>
    <a:solidFill>
      <a:srgbClr val="FFFFCC"/>
    </a:solidFill>
    <a:ln w="6350" cap="sq" cmpd="dbl">
      <a:solidFill>
        <a:schemeClr val="bg1">
          <a:lumMod val="85000"/>
        </a:schemeClr>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lt-LT"/>
  <c:roundedCorners val="1"/>
  <c:chart>
    <c:title>
      <c:tx>
        <c:rich>
          <a:bodyPr/>
          <a:lstStyle/>
          <a:p>
            <a:pPr>
              <a:defRPr sz="1200" b="1" i="0" u="none" strike="noStrike" baseline="0">
                <a:solidFill>
                  <a:srgbClr val="000000"/>
                </a:solidFill>
                <a:latin typeface="Arial"/>
                <a:ea typeface="Arial"/>
                <a:cs typeface="Arial"/>
              </a:defRPr>
            </a:pPr>
            <a:r>
              <a:rPr lang="lt-LT"/>
              <a:t>VANDENS TIEKIMO VEIKLA PER 20</a:t>
            </a:r>
            <a:r>
              <a:rPr lang="en-US"/>
              <a:t>11</a:t>
            </a:r>
            <a:r>
              <a:rPr lang="lt-LT"/>
              <a:t>-201</a:t>
            </a:r>
            <a:r>
              <a:rPr lang="en-US"/>
              <a:t>5</a:t>
            </a:r>
            <a:r>
              <a:rPr lang="lt-LT"/>
              <a:t> METUS</a:t>
            </a:r>
          </a:p>
        </c:rich>
      </c:tx>
      <c:layout>
        <c:manualLayout>
          <c:xMode val="edge"/>
          <c:yMode val="edge"/>
          <c:x val="0.17618293215597033"/>
          <c:y val="3.3536673300452825E-2"/>
        </c:manualLayout>
      </c:layout>
      <c:spPr>
        <a:noFill/>
        <a:ln w="25400">
          <a:noFill/>
        </a:ln>
      </c:spPr>
    </c:title>
    <c:plotArea>
      <c:layout>
        <c:manualLayout>
          <c:layoutTarget val="inner"/>
          <c:xMode val="edge"/>
          <c:yMode val="edge"/>
          <c:x val="9.6248037514049034E-2"/>
          <c:y val="0.29268336253596988"/>
          <c:w val="0.81729265753455793"/>
          <c:h val="0.57012279993985759"/>
        </c:manualLayout>
      </c:layout>
      <c:barChart>
        <c:barDir val="col"/>
        <c:grouping val="clustered"/>
        <c:ser>
          <c:idx val="1"/>
          <c:order val="0"/>
          <c:tx>
            <c:strRef>
              <c:f>'Veikla 05-09'!$B$81</c:f>
              <c:strCache>
                <c:ptCount val="1"/>
                <c:pt idx="0">
                  <c:v>Patiekta  vandens tūkst. m3</c:v>
                </c:pt>
              </c:strCache>
            </c:strRef>
          </c:tx>
          <c:spPr>
            <a:solidFill>
              <a:srgbClr val="993366"/>
            </a:solidFill>
            <a:ln w="12700">
              <a:solidFill>
                <a:srgbClr val="000000"/>
              </a:solidFill>
              <a:prstDash val="solid"/>
            </a:ln>
          </c:spPr>
          <c:dLbls>
            <c:spPr>
              <a:noFill/>
              <a:ln w="25400">
                <a:noFill/>
              </a:ln>
            </c:spPr>
            <c:txPr>
              <a:bodyPr/>
              <a:lstStyle/>
              <a:p>
                <a:pPr>
                  <a:defRPr sz="1000" b="0" i="0" u="none" strike="noStrike" baseline="0">
                    <a:solidFill>
                      <a:srgbClr val="000000"/>
                    </a:solidFill>
                    <a:latin typeface="Arial"/>
                    <a:ea typeface="Arial"/>
                    <a:cs typeface="Arial"/>
                  </a:defRPr>
                </a:pPr>
                <a:endParaRPr lang="lt-LT"/>
              </a:p>
            </c:txPr>
            <c:showVal val="1"/>
          </c:dLbls>
          <c:cat>
            <c:strRef>
              <c:f>'Veikla 05-09'!$I$80:$M$80</c:f>
              <c:strCache>
                <c:ptCount val="5"/>
                <c:pt idx="0">
                  <c:v>2011 m.</c:v>
                </c:pt>
                <c:pt idx="1">
                  <c:v>2012 m.</c:v>
                </c:pt>
                <c:pt idx="2">
                  <c:v>2013 m.</c:v>
                </c:pt>
                <c:pt idx="3">
                  <c:v>2014 m.</c:v>
                </c:pt>
                <c:pt idx="4">
                  <c:v>2015 m.</c:v>
                </c:pt>
              </c:strCache>
            </c:strRef>
          </c:cat>
          <c:val>
            <c:numRef>
              <c:f>'Veikla 05-09'!$I$81:$M$81</c:f>
              <c:numCache>
                <c:formatCode>0.0</c:formatCode>
                <c:ptCount val="5"/>
                <c:pt idx="0">
                  <c:v>179.315</c:v>
                </c:pt>
                <c:pt idx="1">
                  <c:v>168.964</c:v>
                </c:pt>
                <c:pt idx="2">
                  <c:v>171.57499999999999</c:v>
                </c:pt>
                <c:pt idx="3">
                  <c:v>180.61799999999999</c:v>
                </c:pt>
                <c:pt idx="4">
                  <c:v>180.05</c:v>
                </c:pt>
              </c:numCache>
            </c:numRef>
          </c:val>
        </c:ser>
        <c:ser>
          <c:idx val="0"/>
          <c:order val="1"/>
          <c:tx>
            <c:strRef>
              <c:f>'Veikla 05-09'!$B$83</c:f>
              <c:strCache>
                <c:ptCount val="1"/>
                <c:pt idx="0">
                  <c:v>Parduota vandens tūkst. m3</c:v>
                </c:pt>
              </c:strCache>
            </c:strRef>
          </c:tx>
          <c:spPr>
            <a:solidFill>
              <a:srgbClr val="9999FF"/>
            </a:solidFill>
            <a:ln w="12700">
              <a:solidFill>
                <a:srgbClr val="000000"/>
              </a:solidFill>
              <a:prstDash val="solid"/>
            </a:ln>
          </c:spPr>
          <c:dLbls>
            <c:dLbl>
              <c:idx val="3"/>
              <c:layout>
                <c:manualLayout>
                  <c:x val="2.3926046764545947E-2"/>
                  <c:y val="-3.2008194097689457E-7"/>
                </c:manualLayout>
              </c:layout>
              <c:dLblPos val="outEnd"/>
              <c:showVal val="1"/>
            </c:dLbl>
            <c:dLbl>
              <c:idx val="4"/>
              <c:layout>
                <c:manualLayout>
                  <c:x val="2.3926046764545947E-2"/>
                  <c:y val="-8.130081300813009E-3"/>
                </c:manualLayout>
              </c:layout>
              <c:dLblPos val="outEnd"/>
              <c:showVal val="1"/>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Val val="1"/>
          </c:dLbls>
          <c:cat>
            <c:strRef>
              <c:f>'Veikla 05-09'!$I$80:$M$80</c:f>
              <c:strCache>
                <c:ptCount val="5"/>
                <c:pt idx="0">
                  <c:v>2011 m.</c:v>
                </c:pt>
                <c:pt idx="1">
                  <c:v>2012 m.</c:v>
                </c:pt>
                <c:pt idx="2">
                  <c:v>2013 m.</c:v>
                </c:pt>
                <c:pt idx="3">
                  <c:v>2014 m.</c:v>
                </c:pt>
                <c:pt idx="4">
                  <c:v>2015 m.</c:v>
                </c:pt>
              </c:strCache>
            </c:strRef>
          </c:cat>
          <c:val>
            <c:numRef>
              <c:f>'Veikla 05-09'!$I$83:$M$83</c:f>
              <c:numCache>
                <c:formatCode>0.0</c:formatCode>
                <c:ptCount val="5"/>
                <c:pt idx="0">
                  <c:v>136.69999999999999</c:v>
                </c:pt>
                <c:pt idx="1">
                  <c:v>138.95400000000001</c:v>
                </c:pt>
                <c:pt idx="2">
                  <c:v>142.10900000000001</c:v>
                </c:pt>
                <c:pt idx="3">
                  <c:v>147.04</c:v>
                </c:pt>
                <c:pt idx="4">
                  <c:v>146.517</c:v>
                </c:pt>
              </c:numCache>
            </c:numRef>
          </c:val>
        </c:ser>
        <c:axId val="188793600"/>
        <c:axId val="188795136"/>
      </c:barChart>
      <c:lineChart>
        <c:grouping val="standard"/>
        <c:ser>
          <c:idx val="2"/>
          <c:order val="2"/>
          <c:tx>
            <c:strRef>
              <c:f>'Veikla 05-09'!$B$87</c:f>
              <c:strCache>
                <c:ptCount val="1"/>
                <c:pt idx="0">
                  <c:v>Vandens nuostoliai %</c:v>
                </c:pt>
              </c:strCache>
            </c:strRef>
          </c:tx>
          <c:dLbls>
            <c:dLbl>
              <c:idx val="0"/>
              <c:layout>
                <c:manualLayout>
                  <c:x val="9.3391924659677033E-3"/>
                  <c:y val="-4.3961538558710364E-2"/>
                </c:manualLayout>
              </c:layout>
              <c:dLblPos val="r"/>
              <c:showVal val="1"/>
            </c:dLbl>
            <c:dLbl>
              <c:idx val="1"/>
              <c:layout>
                <c:manualLayout>
                  <c:x val="6.8378483684645927E-3"/>
                  <c:y val="-1.5538346168267429E-2"/>
                </c:manualLayout>
              </c:layout>
              <c:dLblPos val="r"/>
              <c:showVal val="1"/>
            </c:dLbl>
            <c:dLbl>
              <c:idx val="2"/>
              <c:layout>
                <c:manualLayout>
                  <c:x val="-1.5783312567168913E-2"/>
                  <c:y val="7.3286896830203924E-2"/>
                </c:manualLayout>
              </c:layout>
              <c:dLblPos val="r"/>
              <c:showVal val="1"/>
            </c:dLbl>
            <c:dLbl>
              <c:idx val="3"/>
              <c:layout>
                <c:manualLayout>
                  <c:x val="-8.8373945100256931E-4"/>
                  <c:y val="6.884802509442417E-2"/>
                </c:manualLayout>
              </c:layout>
              <c:dLblPos val="r"/>
              <c:showVal val="1"/>
            </c:dLbl>
            <c:dLbl>
              <c:idx val="4"/>
              <c:layout>
                <c:manualLayout>
                  <c:x val="-8.7003806416530716E-3"/>
                  <c:y val="8.5365853658536647E-2"/>
                </c:manualLayout>
              </c:layout>
              <c:dLblPos val="r"/>
              <c:showVal val="1"/>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Val val="1"/>
          </c:dLbls>
          <c:cat>
            <c:strRef>
              <c:f>'Veikla 05-09'!$I$80:$M$80</c:f>
              <c:strCache>
                <c:ptCount val="5"/>
                <c:pt idx="0">
                  <c:v>2011 m.</c:v>
                </c:pt>
                <c:pt idx="1">
                  <c:v>2012 m.</c:v>
                </c:pt>
                <c:pt idx="2">
                  <c:v>2013 m.</c:v>
                </c:pt>
                <c:pt idx="3">
                  <c:v>2014 m.</c:v>
                </c:pt>
                <c:pt idx="4">
                  <c:v>2015 m.</c:v>
                </c:pt>
              </c:strCache>
            </c:strRef>
          </c:cat>
          <c:val>
            <c:numRef>
              <c:f>'Veikla 05-09'!$I$87:$M$87</c:f>
              <c:numCache>
                <c:formatCode>0.0%</c:formatCode>
                <c:ptCount val="5"/>
                <c:pt idx="0">
                  <c:v>0.22869810110699162</c:v>
                </c:pt>
                <c:pt idx="1">
                  <c:v>0.14645131507303341</c:v>
                </c:pt>
                <c:pt idx="2">
                  <c:v>0.15500000000000044</c:v>
                </c:pt>
                <c:pt idx="3">
                  <c:v>0.18000000000000024</c:v>
                </c:pt>
                <c:pt idx="4">
                  <c:v>0.18200000000000024</c:v>
                </c:pt>
              </c:numCache>
            </c:numRef>
          </c:val>
        </c:ser>
        <c:marker val="1"/>
        <c:axId val="188899328"/>
        <c:axId val="188900864"/>
      </c:lineChart>
      <c:catAx>
        <c:axId val="188793600"/>
        <c:scaling>
          <c:orientation val="minMax"/>
        </c:scaling>
        <c:axPos val="b"/>
        <c:numFmt formatCode="General"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88795136"/>
        <c:crosses val="autoZero"/>
        <c:lblAlgn val="ctr"/>
        <c:lblOffset val="100"/>
        <c:tickLblSkip val="1"/>
        <c:tickMarkSkip val="1"/>
      </c:catAx>
      <c:valAx>
        <c:axId val="188795136"/>
        <c:scaling>
          <c:orientation val="minMax"/>
        </c:scaling>
        <c:axPos val="l"/>
        <c:numFmt formatCode="0.0"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88793600"/>
        <c:crosses val="autoZero"/>
        <c:crossBetween val="between"/>
      </c:valAx>
      <c:catAx>
        <c:axId val="188899328"/>
        <c:scaling>
          <c:orientation val="minMax"/>
        </c:scaling>
        <c:delete val="1"/>
        <c:axPos val="b"/>
        <c:tickLblPos val="none"/>
        <c:crossAx val="188900864"/>
        <c:crosses val="autoZero"/>
        <c:lblAlgn val="ctr"/>
        <c:lblOffset val="100"/>
      </c:catAx>
      <c:valAx>
        <c:axId val="188900864"/>
        <c:scaling>
          <c:orientation val="minMax"/>
        </c:scaling>
        <c:axPos val="r"/>
        <c:numFmt formatCode="0.0%"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88899328"/>
        <c:crosses val="max"/>
        <c:crossBetween val="between"/>
      </c:valAx>
      <c:spPr>
        <a:blipFill dpi="0" rotWithShape="0">
          <a:blip xmlns:r="http://schemas.openxmlformats.org/officeDocument/2006/relationships" r:embed="rId1"/>
          <a:srcRect/>
          <a:tile tx="0" ty="0" sx="100000" sy="100000" flip="none" algn="tl"/>
        </a:blipFill>
        <a:ln w="12700">
          <a:solidFill>
            <a:srgbClr val="808080"/>
          </a:solidFill>
          <a:prstDash val="solid"/>
        </a:ln>
      </c:spPr>
    </c:plotArea>
    <c:legend>
      <c:legendPos val="t"/>
      <c:layout>
        <c:manualLayout>
          <c:xMode val="edge"/>
          <c:yMode val="edge"/>
          <c:x val="4.0783073030414133E-2"/>
          <c:y val="0.12804880159211032"/>
          <c:w val="0.91027808930180554"/>
          <c:h val="7.3170949785123007E-2"/>
        </c:manualLayout>
      </c:layout>
      <c:spPr>
        <a:solidFill>
          <a:srgbClr val="FFFFFF"/>
        </a:solidFill>
        <a:ln w="3175">
          <a:solidFill>
            <a:schemeClr val="bg1">
              <a:lumMod val="50000"/>
            </a:schemeClr>
          </a:solidFill>
          <a:prstDash val="solid"/>
        </a:ln>
      </c:spPr>
      <c:txPr>
        <a:bodyPr/>
        <a:lstStyle/>
        <a:p>
          <a:pPr>
            <a:defRPr sz="920" b="0" i="0" u="none" strike="noStrike" baseline="0">
              <a:solidFill>
                <a:srgbClr val="000000"/>
              </a:solidFill>
              <a:latin typeface="Arial"/>
              <a:ea typeface="Arial"/>
              <a:cs typeface="Arial"/>
            </a:defRPr>
          </a:pPr>
          <a:endParaRPr lang="lt-LT"/>
        </a:p>
      </c:txPr>
    </c:legend>
    <c:plotVisOnly val="1"/>
    <c:dispBlanksAs val="gap"/>
  </c:chart>
  <c:spPr>
    <a:blipFill>
      <a:blip xmlns:r="http://schemas.openxmlformats.org/officeDocument/2006/relationships" r:embed="rId1"/>
      <a:tile tx="0" ty="0" sx="100000" sy="100000" flip="none" algn="tl"/>
    </a:blipFill>
  </c:spPr>
  <c:txPr>
    <a:bodyPr/>
    <a:lstStyle/>
    <a:p>
      <a:pPr>
        <a:defRPr sz="1000" b="0" i="0" u="none" strike="noStrike" baseline="0">
          <a:solidFill>
            <a:srgbClr val="000000"/>
          </a:solidFill>
          <a:latin typeface="Arial"/>
          <a:ea typeface="Arial"/>
          <a:cs typeface="Arial"/>
        </a:defRPr>
      </a:pPr>
      <a:endParaRPr lang="lt-LT"/>
    </a:p>
  </c:txPr>
  <c:externalData r:id="rId2"/>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lt-LT"/>
  <c:roundedCorners val="1"/>
  <c:chart>
    <c:title>
      <c:tx>
        <c:rich>
          <a:bodyPr/>
          <a:lstStyle/>
          <a:p>
            <a:pPr>
              <a:defRPr sz="1200" b="1" i="0" u="none" strike="noStrike" baseline="0">
                <a:solidFill>
                  <a:srgbClr val="000000"/>
                </a:solidFill>
                <a:latin typeface="Arial"/>
                <a:ea typeface="Arial"/>
                <a:cs typeface="Arial"/>
              </a:defRPr>
            </a:pPr>
            <a:r>
              <a:rPr lang="lt-LT"/>
              <a:t>NUOTEKŲ TVARKYMO VEIKLA PER 20</a:t>
            </a:r>
            <a:r>
              <a:rPr lang="en-US"/>
              <a:t>11</a:t>
            </a:r>
            <a:r>
              <a:rPr lang="lt-LT"/>
              <a:t>-201</a:t>
            </a:r>
            <a:r>
              <a:rPr lang="en-US"/>
              <a:t>5</a:t>
            </a:r>
            <a:r>
              <a:rPr lang="lt-LT"/>
              <a:t> METUS</a:t>
            </a:r>
          </a:p>
        </c:rich>
      </c:tx>
      <c:layout>
        <c:manualLayout>
          <c:xMode val="edge"/>
          <c:yMode val="edge"/>
          <c:x val="0.14678694623073921"/>
          <c:y val="2.5484434698827205E-2"/>
        </c:manualLayout>
      </c:layout>
      <c:spPr>
        <a:noFill/>
        <a:ln w="25400">
          <a:noFill/>
        </a:ln>
      </c:spPr>
    </c:title>
    <c:plotArea>
      <c:layout>
        <c:manualLayout>
          <c:layoutTarget val="inner"/>
          <c:xMode val="edge"/>
          <c:yMode val="edge"/>
          <c:x val="9.8333493381337067E-2"/>
          <c:y val="0.29357885840398751"/>
          <c:w val="0.81333465712021014"/>
          <c:h val="0.56880903815772665"/>
        </c:manualLayout>
      </c:layout>
      <c:barChart>
        <c:barDir val="col"/>
        <c:grouping val="clustered"/>
        <c:ser>
          <c:idx val="1"/>
          <c:order val="0"/>
          <c:tx>
            <c:strRef>
              <c:f>'Veikla 05-09'!$B$82</c:f>
              <c:strCache>
                <c:ptCount val="1"/>
                <c:pt idx="0">
                  <c:v>Išvalyta nuotekų tūkst. m3</c:v>
                </c:pt>
              </c:strCache>
            </c:strRef>
          </c:tx>
          <c:spPr>
            <a:solidFill>
              <a:srgbClr val="993366"/>
            </a:solidFill>
            <a:ln w="12700">
              <a:solidFill>
                <a:srgbClr val="000000"/>
              </a:solidFill>
              <a:prstDash val="solid"/>
            </a:ln>
          </c:spPr>
          <c:dLbls>
            <c:dLbl>
              <c:idx val="1"/>
              <c:layout>
                <c:manualLayout>
                  <c:x val="1.4713627245039255E-3"/>
                  <c:y val="1.0832590880268441E-3"/>
                </c:manualLayout>
              </c:layout>
              <c:dLblPos val="outEnd"/>
              <c:showVal val="1"/>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Val val="1"/>
          </c:dLbls>
          <c:cat>
            <c:strRef>
              <c:f>'Veikla 05-09'!$I$80:$M$80</c:f>
              <c:strCache>
                <c:ptCount val="5"/>
                <c:pt idx="0">
                  <c:v>2011 m.</c:v>
                </c:pt>
                <c:pt idx="1">
                  <c:v>2012 m.</c:v>
                </c:pt>
                <c:pt idx="2">
                  <c:v>2013 m.</c:v>
                </c:pt>
                <c:pt idx="3">
                  <c:v>2014 m.</c:v>
                </c:pt>
                <c:pt idx="4">
                  <c:v>2015 m.</c:v>
                </c:pt>
              </c:strCache>
            </c:strRef>
          </c:cat>
          <c:val>
            <c:numRef>
              <c:f>'Veikla 05-09'!$I$82:$M$82</c:f>
              <c:numCache>
                <c:formatCode>0.0</c:formatCode>
                <c:ptCount val="5"/>
                <c:pt idx="0">
                  <c:v>246.10300000000001</c:v>
                </c:pt>
                <c:pt idx="1">
                  <c:v>229.15800000000004</c:v>
                </c:pt>
                <c:pt idx="2">
                  <c:v>242.45500000000001</c:v>
                </c:pt>
                <c:pt idx="3">
                  <c:v>213.14899999999997</c:v>
                </c:pt>
                <c:pt idx="4">
                  <c:v>221.95400000000001</c:v>
                </c:pt>
              </c:numCache>
            </c:numRef>
          </c:val>
        </c:ser>
        <c:ser>
          <c:idx val="0"/>
          <c:order val="1"/>
          <c:tx>
            <c:strRef>
              <c:f>'Veikla 05-09'!$B$84</c:f>
              <c:strCache>
                <c:ptCount val="1"/>
                <c:pt idx="0">
                  <c:v>Pardavimai nuotekų tūkst. m3</c:v>
                </c:pt>
              </c:strCache>
            </c:strRef>
          </c:tx>
          <c:spPr>
            <a:solidFill>
              <a:srgbClr val="9999FF"/>
            </a:solidFill>
            <a:ln w="12700">
              <a:solidFill>
                <a:srgbClr val="000000"/>
              </a:solidFill>
              <a:prstDash val="solid"/>
            </a:ln>
          </c:spPr>
          <c:dLbls>
            <c:dLbl>
              <c:idx val="0"/>
              <c:layout>
                <c:manualLayout>
                  <c:x val="5.0190943807965092E-2"/>
                  <c:y val="2.0387359836901122E-2"/>
                </c:manualLayout>
              </c:layout>
              <c:dLblPos val="outEnd"/>
              <c:showVal val="1"/>
            </c:dLbl>
            <c:dLbl>
              <c:idx val="1"/>
              <c:layout>
                <c:manualLayout>
                  <c:x val="5.8919803600654665E-2"/>
                  <c:y val="4.8929663608562615E-2"/>
                </c:manualLayout>
              </c:layout>
              <c:dLblPos val="outEnd"/>
              <c:showVal val="1"/>
            </c:dLbl>
            <c:dLbl>
              <c:idx val="2"/>
              <c:layout>
                <c:manualLayout>
                  <c:x val="6.1542069925383733E-2"/>
                  <c:y val="7.7471967380224271E-2"/>
                </c:manualLayout>
              </c:layout>
              <c:dLblPos val="outEnd"/>
              <c:showVal val="1"/>
            </c:dLbl>
            <c:dLbl>
              <c:idx val="3"/>
              <c:layout>
                <c:manualLayout>
                  <c:x val="5.2853246044735534E-2"/>
                  <c:y val="4.4852191641182933E-2"/>
                </c:manualLayout>
              </c:layout>
              <c:dLblPos val="outEnd"/>
              <c:showVal val="1"/>
            </c:dLbl>
            <c:dLbl>
              <c:idx val="4"/>
              <c:layout>
                <c:manualLayout>
                  <c:x val="2.2222222222222251E-2"/>
                  <c:y val="4.0774719673802966E-3"/>
                </c:manualLayout>
              </c:layout>
              <c:dLblPos val="outEnd"/>
              <c:showVal val="1"/>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Val val="1"/>
          </c:dLbls>
          <c:cat>
            <c:strRef>
              <c:f>'Veikla 05-09'!$I$80:$M$80</c:f>
              <c:strCache>
                <c:ptCount val="5"/>
                <c:pt idx="0">
                  <c:v>2011 m.</c:v>
                </c:pt>
                <c:pt idx="1">
                  <c:v>2012 m.</c:v>
                </c:pt>
                <c:pt idx="2">
                  <c:v>2013 m.</c:v>
                </c:pt>
                <c:pt idx="3">
                  <c:v>2014 m.</c:v>
                </c:pt>
                <c:pt idx="4">
                  <c:v>2015 m.</c:v>
                </c:pt>
              </c:strCache>
            </c:strRef>
          </c:cat>
          <c:val>
            <c:numRef>
              <c:f>'Veikla 05-09'!$I$84:$M$84</c:f>
              <c:numCache>
                <c:formatCode>0.0</c:formatCode>
                <c:ptCount val="5"/>
                <c:pt idx="0">
                  <c:v>120.97499999999999</c:v>
                </c:pt>
                <c:pt idx="1">
                  <c:v>111.887</c:v>
                </c:pt>
                <c:pt idx="2">
                  <c:v>115.69</c:v>
                </c:pt>
                <c:pt idx="3">
                  <c:v>115.37199999999999</c:v>
                </c:pt>
                <c:pt idx="4">
                  <c:v>118.05200000000001</c:v>
                </c:pt>
              </c:numCache>
            </c:numRef>
          </c:val>
        </c:ser>
        <c:axId val="189232256"/>
        <c:axId val="189233792"/>
      </c:barChart>
      <c:lineChart>
        <c:grouping val="standard"/>
        <c:ser>
          <c:idx val="2"/>
          <c:order val="2"/>
          <c:tx>
            <c:strRef>
              <c:f>'Veikla 05-09'!$B$88</c:f>
              <c:strCache>
                <c:ptCount val="1"/>
                <c:pt idx="0">
                  <c:v>Nuotekų nuostoliai  %</c:v>
                </c:pt>
              </c:strCache>
            </c:strRef>
          </c:tx>
          <c:dLbls>
            <c:dLbl>
              <c:idx val="0"/>
              <c:layout>
                <c:manualLayout>
                  <c:x val="3.3756400419625212E-3"/>
                  <c:y val="6.0267221249359113E-2"/>
                </c:manualLayout>
              </c:layout>
              <c:dLblPos val="r"/>
              <c:showVal val="1"/>
            </c:dLbl>
            <c:dLbl>
              <c:idx val="1"/>
              <c:layout>
                <c:manualLayout>
                  <c:x val="-5.8380263841815959E-3"/>
                  <c:y val="-9.8961528891458456E-2"/>
                </c:manualLayout>
              </c:layout>
              <c:dLblPos val="r"/>
              <c:showVal val="1"/>
            </c:dLbl>
            <c:dLbl>
              <c:idx val="2"/>
              <c:layout>
                <c:manualLayout>
                  <c:x val="-1.120215128591771E-2"/>
                  <c:y val="-8.6746129210912945E-2"/>
                </c:manualLayout>
              </c:layout>
              <c:dLblPos val="r"/>
              <c:showVal val="1"/>
            </c:dLbl>
            <c:dLbl>
              <c:idx val="3"/>
              <c:layout>
                <c:manualLayout>
                  <c:x val="0"/>
                  <c:y val="-3.669724770642252E-2"/>
                </c:manualLayout>
              </c:layout>
              <c:dLblPos val="r"/>
              <c:showVal val="1"/>
            </c:dLbl>
            <c:dLbl>
              <c:idx val="4"/>
              <c:layout>
                <c:manualLayout>
                  <c:x val="-6.5466448445172104E-3"/>
                  <c:y val="-3.669724770642252E-2"/>
                </c:manualLayout>
              </c:layout>
              <c:dLblPos val="r"/>
              <c:showVal val="1"/>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Val val="1"/>
          </c:dLbls>
          <c:cat>
            <c:strRef>
              <c:f>'Veikla 05-09'!$I$80:$M$80</c:f>
              <c:strCache>
                <c:ptCount val="5"/>
                <c:pt idx="0">
                  <c:v>2011 m.</c:v>
                </c:pt>
                <c:pt idx="1">
                  <c:v>2012 m.</c:v>
                </c:pt>
                <c:pt idx="2">
                  <c:v>2013 m.</c:v>
                </c:pt>
                <c:pt idx="3">
                  <c:v>2014 m.</c:v>
                </c:pt>
                <c:pt idx="4">
                  <c:v>2015 m.</c:v>
                </c:pt>
              </c:strCache>
            </c:strRef>
          </c:cat>
          <c:val>
            <c:numRef>
              <c:f>'Veikla 05-09'!$I$88:$M$88</c:f>
              <c:numCache>
                <c:formatCode>0.0%</c:formatCode>
                <c:ptCount val="5"/>
                <c:pt idx="0">
                  <c:v>0.45285104204337179</c:v>
                </c:pt>
                <c:pt idx="1">
                  <c:v>0.4455179395875335</c:v>
                </c:pt>
                <c:pt idx="2">
                  <c:v>0.43800000000000167</c:v>
                </c:pt>
                <c:pt idx="3">
                  <c:v>0.35300000000000031</c:v>
                </c:pt>
                <c:pt idx="4">
                  <c:v>0.37200000000000166</c:v>
                </c:pt>
              </c:numCache>
            </c:numRef>
          </c:val>
        </c:ser>
        <c:marker val="1"/>
        <c:axId val="189137280"/>
        <c:axId val="189138816"/>
      </c:lineChart>
      <c:catAx>
        <c:axId val="189232256"/>
        <c:scaling>
          <c:orientation val="minMax"/>
        </c:scaling>
        <c:axPos val="b"/>
        <c:numFmt formatCode="General"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89233792"/>
        <c:crosses val="autoZero"/>
        <c:lblAlgn val="ctr"/>
        <c:lblOffset val="100"/>
        <c:tickLblSkip val="1"/>
        <c:tickMarkSkip val="1"/>
      </c:catAx>
      <c:valAx>
        <c:axId val="189233792"/>
        <c:scaling>
          <c:orientation val="minMax"/>
        </c:scaling>
        <c:axPos val="l"/>
        <c:numFmt formatCode="0.0"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89232256"/>
        <c:crosses val="autoZero"/>
        <c:crossBetween val="between"/>
      </c:valAx>
      <c:catAx>
        <c:axId val="189137280"/>
        <c:scaling>
          <c:orientation val="minMax"/>
        </c:scaling>
        <c:delete val="1"/>
        <c:axPos val="b"/>
        <c:tickLblPos val="none"/>
        <c:crossAx val="189138816"/>
        <c:crosses val="autoZero"/>
        <c:lblAlgn val="ctr"/>
        <c:lblOffset val="100"/>
      </c:catAx>
      <c:valAx>
        <c:axId val="189138816"/>
        <c:scaling>
          <c:orientation val="minMax"/>
        </c:scaling>
        <c:axPos val="r"/>
        <c:numFmt formatCode="0.0%" sourceLinked="1"/>
        <c:majorTickMark val="cross"/>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89137280"/>
        <c:crosses val="max"/>
        <c:crossBetween val="between"/>
      </c:valAx>
      <c:spPr>
        <a:blipFill dpi="0" rotWithShape="0">
          <a:blip xmlns:r="http://schemas.openxmlformats.org/officeDocument/2006/relationships" r:embed="rId1"/>
          <a:srcRect/>
          <a:tile tx="0" ty="0" sx="100000" sy="100000" flip="none" algn="tl"/>
        </a:blipFill>
        <a:ln w="12700">
          <a:solidFill>
            <a:srgbClr val="808080"/>
          </a:solidFill>
          <a:prstDash val="solid"/>
        </a:ln>
      </c:spPr>
    </c:plotArea>
    <c:legend>
      <c:legendPos val="t"/>
      <c:layout>
        <c:manualLayout>
          <c:xMode val="edge"/>
          <c:yMode val="edge"/>
          <c:x val="2.3333376290320611E-2"/>
          <c:y val="0.12844067909232987"/>
          <c:w val="0.94500165384401125"/>
          <c:h val="7.3394597827171115E-2"/>
        </c:manualLayout>
      </c:layout>
      <c:spPr>
        <a:solidFill>
          <a:srgbClr val="FFFFFF"/>
        </a:solidFill>
        <a:ln w="3175">
          <a:solidFill>
            <a:schemeClr val="bg1">
              <a:lumMod val="50000"/>
            </a:schemeClr>
          </a:solidFill>
          <a:prstDash val="solid"/>
        </a:ln>
      </c:spPr>
      <c:txPr>
        <a:bodyPr/>
        <a:lstStyle/>
        <a:p>
          <a:pPr>
            <a:defRPr sz="920" b="0" i="0" u="none" strike="noStrike" baseline="0">
              <a:solidFill>
                <a:srgbClr val="000000"/>
              </a:solidFill>
              <a:latin typeface="Arial"/>
              <a:ea typeface="Arial"/>
              <a:cs typeface="Arial"/>
            </a:defRPr>
          </a:pPr>
          <a:endParaRPr lang="lt-LT"/>
        </a:p>
      </c:txPr>
    </c:legend>
    <c:plotVisOnly val="1"/>
    <c:dispBlanksAs val="gap"/>
  </c:chart>
  <c:spPr>
    <a:blipFill>
      <a:blip xmlns:r="http://schemas.openxmlformats.org/officeDocument/2006/relationships" r:embed="rId1"/>
      <a:tile tx="0" ty="0" sx="100000" sy="100000" flip="none" algn="tl"/>
    </a:blipFill>
  </c:spPr>
  <c:txPr>
    <a:bodyPr/>
    <a:lstStyle/>
    <a:p>
      <a:pPr>
        <a:defRPr sz="1000" b="0" i="0" u="none" strike="noStrike" baseline="0">
          <a:solidFill>
            <a:srgbClr val="000000"/>
          </a:solidFill>
          <a:latin typeface="Arial"/>
          <a:ea typeface="Arial"/>
          <a:cs typeface="Arial"/>
        </a:defRPr>
      </a:pPr>
      <a:endParaRPr lang="lt-LT"/>
    </a:p>
  </c:txPr>
  <c:externalData r:id="rId2"/>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a:latin typeface="Times New Roman" pitchFamily="18" charset="0"/>
                <a:cs typeface="Times New Roman" pitchFamily="18" charset="0"/>
              </a:rPr>
              <a:t>Mišrių</a:t>
            </a:r>
            <a:r>
              <a:rPr lang="lt-LT" baseline="0">
                <a:latin typeface="Times New Roman" pitchFamily="18" charset="0"/>
                <a:cs typeface="Times New Roman" pitchFamily="18" charset="0"/>
              </a:rPr>
              <a:t> k</a:t>
            </a:r>
            <a:r>
              <a:rPr lang="lt-LT">
                <a:latin typeface="Times New Roman" pitchFamily="18" charset="0"/>
                <a:cs typeface="Times New Roman" pitchFamily="18" charset="0"/>
              </a:rPr>
              <a:t>omunalinių atliekų kiekis (t)</a:t>
            </a:r>
          </a:p>
        </c:rich>
      </c:tx>
      <c:overlay val="1"/>
    </c:title>
    <c:plotArea>
      <c:layout>
        <c:manualLayout>
          <c:layoutTarget val="inner"/>
          <c:xMode val="edge"/>
          <c:yMode val="edge"/>
          <c:x val="0.31179670731858738"/>
          <c:y val="0.13904819929683918"/>
          <c:w val="0.43303075722988488"/>
          <c:h val="0.71933742470369333"/>
        </c:manualLayout>
      </c:layout>
      <c:pieChart>
        <c:varyColors val="1"/>
        <c:ser>
          <c:idx val="0"/>
          <c:order val="0"/>
          <c:tx>
            <c:strRef>
              <c:f>Lapas1!$B$1</c:f>
              <c:strCache>
                <c:ptCount val="1"/>
                <c:pt idx="0">
                  <c:v>Pardavimas</c:v>
                </c:pt>
              </c:strCache>
            </c:strRef>
          </c:tx>
          <c:explosion val="2"/>
          <c:dPt>
            <c:idx val="0"/>
            <c:explosion val="12"/>
          </c:dPt>
          <c:dPt>
            <c:idx val="1"/>
            <c:explosion val="0"/>
          </c:dPt>
          <c:dPt>
            <c:idx val="2"/>
            <c:explosion val="0"/>
          </c:dPt>
          <c:dLbls>
            <c:dLbl>
              <c:idx val="1"/>
              <c:tx>
                <c:rich>
                  <a:bodyPr/>
                  <a:lstStyle/>
                  <a:p>
                    <a:r>
                      <a:rPr lang="en-US" b="0" i="0"/>
                      <a:t>2</a:t>
                    </a:r>
                    <a:r>
                      <a:rPr lang="en-US" b="0"/>
                      <a:t>037,82</a:t>
                    </a:r>
                  </a:p>
                </c:rich>
              </c:tx>
              <c:dLblPos val="ctr"/>
              <c:showVal val="1"/>
            </c:dLbl>
            <c:dLbl>
              <c:idx val="2"/>
              <c:tx>
                <c:rich>
                  <a:bodyPr/>
                  <a:lstStyle/>
                  <a:p>
                    <a:r>
                      <a:rPr lang="en-US" b="0" i="0"/>
                      <a:t>2</a:t>
                    </a:r>
                    <a:r>
                      <a:rPr lang="en-US" b="0"/>
                      <a:t>099,42</a:t>
                    </a:r>
                  </a:p>
                </c:rich>
              </c:tx>
              <c:dLblPos val="ctr"/>
              <c:showVal val="1"/>
            </c:dLbl>
            <c:txPr>
              <a:bodyPr/>
              <a:lstStyle/>
              <a:p>
                <a:pPr>
                  <a:defRPr sz="1600" b="1" i="0">
                    <a:latin typeface="Times New Roman" pitchFamily="18" charset="0"/>
                    <a:cs typeface="Times New Roman" pitchFamily="18" charset="0"/>
                  </a:defRPr>
                </a:pPr>
                <a:endParaRPr lang="lt-LT"/>
              </a:p>
            </c:txPr>
            <c:dLblPos val="ctr"/>
            <c:showVal val="1"/>
            <c:showLeaderLines val="1"/>
          </c:dLbls>
          <c:cat>
            <c:strRef>
              <c:f>Lapas1!$A$2:$A$5</c:f>
              <c:strCache>
                <c:ptCount val="3"/>
                <c:pt idx="0">
                  <c:v>2015 m.</c:v>
                </c:pt>
                <c:pt idx="1">
                  <c:v>2014 m.</c:v>
                </c:pt>
                <c:pt idx="2">
                  <c:v>2013 m.</c:v>
                </c:pt>
              </c:strCache>
            </c:strRef>
          </c:cat>
          <c:val>
            <c:numRef>
              <c:f>Lapas1!$B$2:$B$5</c:f>
              <c:numCache>
                <c:formatCode>General</c:formatCode>
                <c:ptCount val="4"/>
                <c:pt idx="0">
                  <c:v>2004.86</c:v>
                </c:pt>
                <c:pt idx="1">
                  <c:v>2037.82</c:v>
                </c:pt>
                <c:pt idx="2">
                  <c:v>2099.42</c:v>
                </c:pt>
              </c:numCache>
            </c:numRef>
          </c:val>
        </c:ser>
        <c:firstSliceAng val="0"/>
      </c:pieChart>
    </c:plotArea>
    <c:legend>
      <c:legendPos val="b"/>
      <c:legendEntry>
        <c:idx val="3"/>
        <c:delete val="1"/>
      </c:legendEntry>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400">
                <a:latin typeface="Times New Roman" pitchFamily="18" charset="0"/>
                <a:cs typeface="Times New Roman" pitchFamily="18" charset="0"/>
              </a:defRPr>
            </a:pPr>
            <a:r>
              <a:rPr lang="lt-LT" sz="1400">
                <a:latin typeface="Times New Roman" pitchFamily="18" charset="0"/>
                <a:cs typeface="Times New Roman" pitchFamily="18" charset="0"/>
              </a:rPr>
              <a:t>2013-2015 metų Savivaldybės biudžeto dinamika tūkst. Eur                              (planas ir patikslintas biudžetas)</a:t>
            </a:r>
            <a:endParaRPr lang="en-US" sz="1400">
              <a:latin typeface="Times New Roman" pitchFamily="18" charset="0"/>
              <a:cs typeface="Times New Roman" pitchFamily="18" charset="0"/>
            </a:endParaRPr>
          </a:p>
        </c:rich>
      </c:tx>
      <c:layout>
        <c:manualLayout>
          <c:xMode val="edge"/>
          <c:yMode val="edge"/>
          <c:x val="0.1650626478549389"/>
          <c:y val="4.3431184005225193E-2"/>
        </c:manualLayout>
      </c:layout>
    </c:title>
    <c:view3D>
      <c:rotX val="30"/>
      <c:rotY val="30"/>
      <c:depthPercent val="80"/>
      <c:rAngAx val="1"/>
    </c:view3D>
    <c:floor>
      <c:spPr>
        <a:gradFill>
          <a:gsLst>
            <a:gs pos="0">
              <a:schemeClr val="accent1">
                <a:lumMod val="60000"/>
                <a:lumOff val="40000"/>
              </a:schemeClr>
            </a:gs>
            <a:gs pos="30000">
              <a:srgbClr val="D49E6C"/>
            </a:gs>
            <a:gs pos="70000">
              <a:srgbClr val="A65528"/>
            </a:gs>
            <a:gs pos="100000">
              <a:srgbClr val="663012"/>
            </a:gs>
          </a:gsLst>
          <a:lin ang="5400000" scaled="0"/>
        </a:gradFill>
      </c:spPr>
    </c:floor>
    <c:plotArea>
      <c:layout>
        <c:manualLayout>
          <c:layoutTarget val="inner"/>
          <c:xMode val="edge"/>
          <c:yMode val="edge"/>
          <c:x val="3.7289027872688806E-2"/>
          <c:y val="0.21443347268887841"/>
          <c:w val="0.71384223169082128"/>
          <c:h val="0.52459958791795236"/>
        </c:manualLayout>
      </c:layout>
      <c:bar3DChart>
        <c:barDir val="col"/>
        <c:grouping val="clustered"/>
        <c:ser>
          <c:idx val="0"/>
          <c:order val="0"/>
          <c:tx>
            <c:strRef>
              <c:f>'Mero atask. už 2015 m.'!$C$29</c:f>
              <c:strCache>
                <c:ptCount val="1"/>
                <c:pt idx="0">
                  <c:v>planas</c:v>
                </c:pt>
              </c:strCache>
            </c:strRef>
          </c:tx>
          <c:spPr>
            <a:solidFill>
              <a:schemeClr val="tx2">
                <a:lumMod val="75000"/>
              </a:schemeClr>
            </a:solidFill>
            <a:effectLst>
              <a:innerShdw blurRad="63500" dist="50800" dir="5400000">
                <a:prstClr val="black">
                  <a:alpha val="50000"/>
                </a:prstClr>
              </a:innerShdw>
            </a:effectLst>
          </c:spPr>
          <c:dLbls>
            <c:dLbl>
              <c:idx val="0"/>
              <c:layout>
                <c:manualLayout>
                  <c:x val="-7.1942432458613403E-3"/>
                  <c:y val="-2.6058631921824206E-2"/>
                </c:manualLayout>
              </c:layout>
              <c:showVal val="1"/>
            </c:dLbl>
            <c:txPr>
              <a:bodyPr/>
              <a:lstStyle/>
              <a:p>
                <a:pPr>
                  <a:defRPr sz="1100" b="1">
                    <a:latin typeface="Times New Roman" pitchFamily="18" charset="0"/>
                    <a:cs typeface="Times New Roman" pitchFamily="18" charset="0"/>
                  </a:defRPr>
                </a:pPr>
                <a:endParaRPr lang="lt-LT"/>
              </a:p>
            </c:txPr>
            <c:showVal val="1"/>
          </c:dLbls>
          <c:cat>
            <c:strRef>
              <c:f>'Mero atask. už 2015 m.'!$B$30:$B$32</c:f>
              <c:strCache>
                <c:ptCount val="3"/>
                <c:pt idx="0">
                  <c:v>2013 m. </c:v>
                </c:pt>
                <c:pt idx="1">
                  <c:v>2014 m.</c:v>
                </c:pt>
                <c:pt idx="2">
                  <c:v>2015 m.</c:v>
                </c:pt>
              </c:strCache>
            </c:strRef>
          </c:cat>
          <c:val>
            <c:numRef>
              <c:f>'Mero atask. už 2015 m.'!$C$30:$C$32</c:f>
              <c:numCache>
                <c:formatCode>General</c:formatCode>
                <c:ptCount val="3"/>
                <c:pt idx="0">
                  <c:v>6165.5</c:v>
                </c:pt>
                <c:pt idx="1">
                  <c:v>6298.7</c:v>
                </c:pt>
                <c:pt idx="2">
                  <c:v>7997.9</c:v>
                </c:pt>
              </c:numCache>
            </c:numRef>
          </c:val>
        </c:ser>
        <c:ser>
          <c:idx val="1"/>
          <c:order val="1"/>
          <c:tx>
            <c:strRef>
              <c:f>'Mero atask. už 2015 m.'!$D$29</c:f>
              <c:strCache>
                <c:ptCount val="1"/>
                <c:pt idx="0">
                  <c:v>patikslintas biudžetas</c:v>
                </c:pt>
              </c:strCache>
            </c:strRef>
          </c:tx>
          <c:spPr>
            <a:solidFill>
              <a:schemeClr val="accent4">
                <a:lumMod val="40000"/>
                <a:lumOff val="60000"/>
              </a:schemeClr>
            </a:solidFill>
            <a:ln>
              <a:solidFill>
                <a:schemeClr val="accent4">
                  <a:lumMod val="50000"/>
                </a:schemeClr>
              </a:solidFill>
            </a:ln>
          </c:spPr>
          <c:dLbls>
            <c:dLbl>
              <c:idx val="0"/>
              <c:layout>
                <c:manualLayout>
                  <c:x val="7.1150062763893664E-3"/>
                  <c:y val="-6.0803474484256534E-2"/>
                </c:manualLayout>
              </c:layout>
              <c:showVal val="1"/>
            </c:dLbl>
            <c:dLbl>
              <c:idx val="1"/>
              <c:layout>
                <c:manualLayout>
                  <c:x val="2.3980810819537613E-3"/>
                  <c:y val="-6.5146579804560331E-2"/>
                </c:manualLayout>
              </c:layout>
              <c:showVal val="1"/>
            </c:dLbl>
            <c:dLbl>
              <c:idx val="2"/>
              <c:layout>
                <c:manualLayout>
                  <c:x val="1.8535487191276605E-2"/>
                  <c:y val="-2.1715526601520086E-2"/>
                </c:manualLayout>
              </c:layout>
              <c:showVal val="1"/>
            </c:dLbl>
            <c:txPr>
              <a:bodyPr/>
              <a:lstStyle/>
              <a:p>
                <a:pPr>
                  <a:defRPr sz="1100" b="1">
                    <a:latin typeface="Times New Roman" pitchFamily="18" charset="0"/>
                    <a:cs typeface="Times New Roman" pitchFamily="18" charset="0"/>
                  </a:defRPr>
                </a:pPr>
                <a:endParaRPr lang="lt-LT"/>
              </a:p>
            </c:txPr>
            <c:showVal val="1"/>
          </c:dLbls>
          <c:cat>
            <c:strRef>
              <c:f>'Mero atask. už 2015 m.'!$B$30:$B$32</c:f>
              <c:strCache>
                <c:ptCount val="3"/>
                <c:pt idx="0">
                  <c:v>2013 m. </c:v>
                </c:pt>
                <c:pt idx="1">
                  <c:v>2014 m.</c:v>
                </c:pt>
                <c:pt idx="2">
                  <c:v>2015 m.</c:v>
                </c:pt>
              </c:strCache>
            </c:strRef>
          </c:cat>
          <c:val>
            <c:numRef>
              <c:f>'Mero atask. už 2015 m.'!$D$30:$D$32</c:f>
              <c:numCache>
                <c:formatCode>General</c:formatCode>
                <c:ptCount val="3"/>
                <c:pt idx="0">
                  <c:v>6304.3</c:v>
                </c:pt>
                <c:pt idx="1">
                  <c:v>6242.5</c:v>
                </c:pt>
                <c:pt idx="2" formatCode="0.0">
                  <c:v>9894.9</c:v>
                </c:pt>
              </c:numCache>
            </c:numRef>
          </c:val>
        </c:ser>
        <c:shape val="pyramid"/>
        <c:axId val="173856640"/>
        <c:axId val="173858176"/>
        <c:axId val="0"/>
      </c:bar3DChart>
      <c:catAx>
        <c:axId val="173856640"/>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lt-LT"/>
          </a:p>
        </c:txPr>
        <c:crossAx val="173858176"/>
        <c:crosses val="autoZero"/>
        <c:auto val="1"/>
        <c:lblAlgn val="ctr"/>
        <c:lblOffset val="100"/>
      </c:catAx>
      <c:valAx>
        <c:axId val="173858176"/>
        <c:scaling>
          <c:orientation val="minMax"/>
        </c:scaling>
        <c:delete val="1"/>
        <c:axPos val="l"/>
        <c:numFmt formatCode="General" sourceLinked="1"/>
        <c:tickLblPos val="none"/>
        <c:crossAx val="173856640"/>
        <c:crosses val="autoZero"/>
        <c:crossBetween val="between"/>
      </c:valAx>
      <c:spPr>
        <a:noFill/>
        <a:ln w="25400">
          <a:noFill/>
        </a:ln>
      </c:spPr>
    </c:plotArea>
    <c:legend>
      <c:legendPos val="r"/>
      <c:layout>
        <c:manualLayout>
          <c:xMode val="edge"/>
          <c:yMode val="edge"/>
          <c:x val="0.81444706595790473"/>
          <c:y val="0.49757654486737796"/>
          <c:w val="0.16070840874132825"/>
          <c:h val="0.19184701912260979"/>
        </c:manualLayout>
      </c:layout>
      <c:txPr>
        <a:bodyPr/>
        <a:lstStyle/>
        <a:p>
          <a:pPr>
            <a:defRPr b="1">
              <a:latin typeface="Times New Roman" pitchFamily="18" charset="0"/>
              <a:cs typeface="Times New Roman" pitchFamily="18" charset="0"/>
            </a:defRPr>
          </a:pPr>
          <a:endParaRPr lang="lt-LT"/>
        </a:p>
      </c:txPr>
    </c:legend>
    <c:plotVisOnly val="1"/>
    <c:dispBlanksAs val="gap"/>
  </c:chart>
  <c:spPr>
    <a:gradFill>
      <a:gsLst>
        <a:gs pos="0">
          <a:srgbClr val="FFEFD1"/>
        </a:gs>
        <a:gs pos="64999">
          <a:srgbClr val="F0EBD5"/>
        </a:gs>
        <a:gs pos="100000">
          <a:srgbClr val="D1C39F"/>
        </a:gs>
      </a:gsLst>
      <a:lin ang="5400000" scaled="0"/>
    </a:gradFill>
    <a:effectLst>
      <a:outerShdw blurRad="50800" dist="50800" dir="5400000" algn="ctr" rotWithShape="0">
        <a:schemeClr val="bg2">
          <a:lumMod val="50000"/>
        </a:schemeClr>
      </a:outerShdw>
    </a:effectLst>
  </c:spPr>
  <c:externalData r:id="rId1"/>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a:pPr>
            <a:r>
              <a:rPr lang="lt-LT">
                <a:latin typeface="Times New Roman" pitchFamily="18" charset="0"/>
                <a:cs typeface="Times New Roman" pitchFamily="18" charset="0"/>
              </a:rPr>
              <a:t>Antrinių žaliavų kiekis (t)</a:t>
            </a:r>
          </a:p>
        </c:rich>
      </c:tx>
      <c:layout>
        <c:manualLayout>
          <c:xMode val="edge"/>
          <c:yMode val="edge"/>
          <c:x val="0.22824295984166773"/>
          <c:y val="0.10694442420208676"/>
        </c:manualLayout>
      </c:layout>
    </c:title>
    <c:view3D>
      <c:rotX val="30"/>
      <c:perspective val="30"/>
    </c:view3D>
    <c:plotArea>
      <c:layout/>
      <c:pie3DChart>
        <c:varyColors val="1"/>
        <c:ser>
          <c:idx val="0"/>
          <c:order val="0"/>
          <c:tx>
            <c:strRef>
              <c:f>Lapas1!$B$1</c:f>
              <c:strCache>
                <c:ptCount val="1"/>
                <c:pt idx="0">
                  <c:v>Antrinių žaliavų kiekis (t)</c:v>
                </c:pt>
              </c:strCache>
            </c:strRef>
          </c:tx>
          <c:dPt>
            <c:idx val="0"/>
            <c:explosion val="18"/>
          </c:dPt>
          <c:dLbls>
            <c:dLbl>
              <c:idx val="0"/>
              <c:layout>
                <c:manualLayout>
                  <c:x val="-0.17396452391330758"/>
                  <c:y val="3.2444450921998907E-2"/>
                </c:manualLayout>
              </c:layout>
              <c:tx>
                <c:rich>
                  <a:bodyPr/>
                  <a:lstStyle/>
                  <a:p>
                    <a:pPr>
                      <a:defRPr sz="1400" b="1">
                        <a:latin typeface="Times New Roman" pitchFamily="18" charset="0"/>
                        <a:cs typeface="Times New Roman" pitchFamily="18" charset="0"/>
                      </a:defRPr>
                    </a:pPr>
                    <a:r>
                      <a:rPr lang="en-US" sz="1600" b="1">
                        <a:latin typeface="Times New Roman" pitchFamily="18" charset="0"/>
                        <a:cs typeface="Times New Roman" pitchFamily="18" charset="0"/>
                      </a:rPr>
                      <a:t>154,54</a:t>
                    </a:r>
                  </a:p>
                </c:rich>
              </c:tx>
              <c:spPr/>
              <c:showVal val="1"/>
            </c:dLbl>
            <c:dLbl>
              <c:idx val="1"/>
              <c:layout>
                <c:manualLayout>
                  <c:x val="5.7261364725828733E-2"/>
                  <c:y val="-0.26863681485691893"/>
                </c:manualLayout>
              </c:layout>
              <c:spPr/>
              <c:txPr>
                <a:bodyPr/>
                <a:lstStyle/>
                <a:p>
                  <a:pPr>
                    <a:defRPr sz="1600">
                      <a:latin typeface="Times New Roman" pitchFamily="18" charset="0"/>
                      <a:cs typeface="Times New Roman" pitchFamily="18" charset="0"/>
                    </a:defRPr>
                  </a:pPr>
                  <a:endParaRPr lang="lt-LT"/>
                </a:p>
              </c:txPr>
              <c:showVal val="1"/>
            </c:dLbl>
            <c:dLbl>
              <c:idx val="2"/>
              <c:spPr/>
              <c:txPr>
                <a:bodyPr/>
                <a:lstStyle/>
                <a:p>
                  <a:pPr>
                    <a:defRPr sz="1600">
                      <a:latin typeface="Times New Roman" pitchFamily="18" charset="0"/>
                      <a:cs typeface="Times New Roman" pitchFamily="18" charset="0"/>
                    </a:defRPr>
                  </a:pPr>
                  <a:endParaRPr lang="lt-LT"/>
                </a:p>
              </c:txPr>
            </c:dLbl>
            <c:showVal val="1"/>
            <c:showLeaderLines val="1"/>
          </c:dLbls>
          <c:cat>
            <c:strRef>
              <c:f>Lapas1!$A$2:$A$4</c:f>
              <c:strCache>
                <c:ptCount val="3"/>
                <c:pt idx="0">
                  <c:v>2015 m.</c:v>
                </c:pt>
                <c:pt idx="1">
                  <c:v>2014 m.</c:v>
                </c:pt>
                <c:pt idx="2">
                  <c:v>2013 m.</c:v>
                </c:pt>
              </c:strCache>
            </c:strRef>
          </c:cat>
          <c:val>
            <c:numRef>
              <c:f>Lapas1!$B$2:$B$4</c:f>
              <c:numCache>
                <c:formatCode>General</c:formatCode>
                <c:ptCount val="3"/>
                <c:pt idx="0">
                  <c:v>154.54</c:v>
                </c:pt>
                <c:pt idx="1">
                  <c:v>140.732</c:v>
                </c:pt>
                <c:pt idx="2">
                  <c:v>136.68</c:v>
                </c:pt>
              </c:numCache>
            </c:numRef>
          </c:val>
        </c:ser>
      </c:pie3DChart>
    </c:plotArea>
    <c:legend>
      <c:legendPos val="r"/>
      <c:layout>
        <c:manualLayout>
          <c:xMode val="edge"/>
          <c:yMode val="edge"/>
          <c:x val="0.30908033025310838"/>
          <c:y val="0.87187364882262353"/>
          <c:w val="0.35324902467737979"/>
          <c:h val="0.12702711018482091"/>
        </c:manualLayout>
      </c:layout>
    </c:legend>
    <c:plotVisOnly val="1"/>
  </c:chart>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873" b="1" i="0" u="none" strike="noStrike" baseline="0">
                <a:solidFill>
                  <a:srgbClr val="000000"/>
                </a:solidFill>
                <a:latin typeface="Arial"/>
                <a:ea typeface="Arial"/>
                <a:cs typeface="Arial"/>
              </a:defRPr>
            </a:pPr>
            <a:r>
              <a:rPr lang="lt-LT"/>
              <a:t>Iš gyventojų gauta prašymų</a:t>
            </a:r>
          </a:p>
        </c:rich>
      </c:tx>
      <c:layout>
        <c:manualLayout>
          <c:xMode val="edge"/>
          <c:yMode val="edge"/>
          <c:x val="0.34923664122137404"/>
          <c:y val="1.8633540372670808E-2"/>
        </c:manualLayout>
      </c:layout>
      <c:spPr>
        <a:noFill/>
        <a:ln w="25354">
          <a:noFill/>
        </a:ln>
      </c:spPr>
    </c:title>
    <c:view3D>
      <c:hPercent val="446"/>
      <c:depthPercent val="100"/>
      <c:rAngAx val="1"/>
    </c:view3D>
    <c:floor>
      <c:spPr>
        <a:solidFill>
          <a:srgbClr val="C0C0C0"/>
        </a:solidFill>
        <a:ln w="3175">
          <a:solidFill>
            <a:srgbClr val="000000"/>
          </a:solidFill>
          <a:prstDash val="solid"/>
        </a:ln>
      </c:spPr>
    </c:floor>
    <c:sideWall>
      <c:spPr>
        <a:blipFill dpi="0" rotWithShape="0">
          <a:blip xmlns:r="http://schemas.openxmlformats.org/officeDocument/2006/relationships" r:embed="rId1"/>
          <a:srcRect/>
          <a:tile tx="0" ty="0" sx="100000" sy="100000" flip="none" algn="tl"/>
        </a:blipFill>
        <a:ln w="12700">
          <a:solidFill>
            <a:srgbClr val="000000"/>
          </a:solidFill>
          <a:prstDash val="solid"/>
        </a:ln>
      </c:spPr>
    </c:sideWall>
    <c:backWall>
      <c:spPr>
        <a:blipFill dpi="0" rotWithShape="0">
          <a:blip xmlns:r="http://schemas.openxmlformats.org/officeDocument/2006/relationships" r:embed="rId1"/>
          <a:srcRect/>
          <a:tile tx="0" ty="0" sx="100000" sy="100000" flip="none" algn="tl"/>
        </a:blipFill>
        <a:ln w="12700">
          <a:solidFill>
            <a:srgbClr val="000000"/>
          </a:solidFill>
          <a:prstDash val="solid"/>
        </a:ln>
      </c:spPr>
    </c:backWall>
    <c:plotArea>
      <c:layout>
        <c:manualLayout>
          <c:layoutTarget val="inner"/>
          <c:xMode val="edge"/>
          <c:yMode val="edge"/>
          <c:x val="0.11450381679389295"/>
          <c:y val="0.22981366459627492"/>
          <c:w val="0.8454198473282446"/>
          <c:h val="0.57763975155280201"/>
        </c:manualLayout>
      </c:layout>
      <c:bar3DChart>
        <c:barDir val="bar"/>
        <c:grouping val="clustered"/>
        <c:ser>
          <c:idx val="1"/>
          <c:order val="1"/>
          <c:tx>
            <c:strRef>
              <c:f>Sheet1!$A$2</c:f>
            </c:strRef>
          </c:tx>
          <c:spPr>
            <a:solidFill>
              <a:srgbClr val="FF8080"/>
            </a:solidFill>
            <a:ln w="12677">
              <a:solidFill>
                <a:srgbClr val="000000"/>
              </a:solidFill>
              <a:prstDash val="solid"/>
            </a:ln>
          </c:spPr>
          <c:dLbls>
            <c:showVal val="1"/>
          </c:dLbls>
          <c:cat>
            <c:multiLvlStrRef>
              <c:f>Sheet1!$B$1:$D$1</c:f>
            </c:multiLvlStrRef>
          </c:cat>
          <c:val>
            <c:numRef>
              <c:f>Sheet1!$B$2:$D$2</c:f>
            </c:numRef>
          </c:val>
        </c:ser>
        <c:ser>
          <c:idx val="0"/>
          <c:order val="0"/>
          <c:tx>
            <c:strRef>
              <c:f>Sheet1!$A$2</c:f>
              <c:strCache>
                <c:ptCount val="1"/>
                <c:pt idx="0">
                  <c:v>Gauta prašymų</c:v>
                </c:pt>
              </c:strCache>
            </c:strRef>
          </c:tx>
          <c:spPr>
            <a:solidFill>
              <a:srgbClr val="FF8080"/>
            </a:solidFill>
            <a:ln w="12677">
              <a:solidFill>
                <a:srgbClr val="000000"/>
              </a:solidFill>
              <a:prstDash val="solid"/>
            </a:ln>
          </c:spPr>
          <c:dPt>
            <c:idx val="1"/>
            <c:spPr>
              <a:solidFill>
                <a:srgbClr val="660066"/>
              </a:solidFill>
              <a:ln w="12677">
                <a:solidFill>
                  <a:srgbClr val="000000"/>
                </a:solidFill>
                <a:prstDash val="solid"/>
              </a:ln>
            </c:spPr>
          </c:dPt>
          <c:dPt>
            <c:idx val="2"/>
            <c:spPr>
              <a:solidFill>
                <a:srgbClr val="FFFF00"/>
              </a:solidFill>
              <a:ln w="12677">
                <a:solidFill>
                  <a:srgbClr val="000000"/>
                </a:solidFill>
                <a:prstDash val="solid"/>
              </a:ln>
            </c:spPr>
          </c:dPt>
          <c:dLbls>
            <c:dLbl>
              <c:idx val="0"/>
              <c:layout>
                <c:manualLayout>
                  <c:x val="3.2367984994528538E-2"/>
                  <c:y val="-3.111534399161189E-2"/>
                </c:manualLayout>
              </c:layout>
              <c:showVal val="1"/>
            </c:dLbl>
            <c:dLbl>
              <c:idx val="1"/>
              <c:layout>
                <c:manualLayout>
                  <c:x val="3.2627947916147156E-2"/>
                  <c:y val="-3.0839196206500212E-2"/>
                </c:manualLayout>
              </c:layout>
              <c:showVal val="1"/>
            </c:dLbl>
            <c:dLbl>
              <c:idx val="2"/>
              <c:layout>
                <c:manualLayout>
                  <c:x val="2.9964334639485977E-2"/>
                  <c:y val="-3.6774228545611812E-2"/>
                </c:manualLayout>
              </c:layout>
              <c:showVal val="1"/>
            </c:dLbl>
            <c:spPr>
              <a:noFill/>
              <a:ln w="25354">
                <a:noFill/>
              </a:ln>
            </c:spPr>
            <c:txPr>
              <a:bodyPr/>
              <a:lstStyle/>
              <a:p>
                <a:pPr>
                  <a:defRPr sz="799" b="1" i="0" u="none" strike="noStrike" baseline="0">
                    <a:solidFill>
                      <a:srgbClr val="000000"/>
                    </a:solidFill>
                    <a:latin typeface="Arial"/>
                    <a:ea typeface="Arial"/>
                    <a:cs typeface="Arial"/>
                  </a:defRPr>
                </a:pPr>
                <a:endParaRPr lang="lt-LT"/>
              </a:p>
            </c:txPr>
            <c:showVal val="1"/>
          </c:dLbls>
          <c:cat>
            <c:strRef>
              <c:f>Sheet1!$B$1:$D$1</c:f>
              <c:strCache>
                <c:ptCount val="3"/>
                <c:pt idx="0">
                  <c:v>2015 m.</c:v>
                </c:pt>
                <c:pt idx="1">
                  <c:v>2014 m.</c:v>
                </c:pt>
                <c:pt idx="2">
                  <c:v>2013 m.</c:v>
                </c:pt>
              </c:strCache>
            </c:strRef>
          </c:cat>
          <c:val>
            <c:numRef>
              <c:f>Sheet1!$B$2:$D$2</c:f>
              <c:numCache>
                <c:formatCode>General</c:formatCode>
                <c:ptCount val="3"/>
                <c:pt idx="0">
                  <c:v>116</c:v>
                </c:pt>
                <c:pt idx="1">
                  <c:v>83</c:v>
                </c:pt>
                <c:pt idx="2">
                  <c:v>107</c:v>
                </c:pt>
              </c:numCache>
            </c:numRef>
          </c:val>
        </c:ser>
        <c:dLbls>
          <c:showVal val="1"/>
        </c:dLbls>
        <c:gapDepth val="0"/>
        <c:shape val="box"/>
        <c:axId val="189418112"/>
        <c:axId val="189428096"/>
        <c:axId val="0"/>
      </c:bar3DChart>
      <c:catAx>
        <c:axId val="189418112"/>
        <c:scaling>
          <c:orientation val="minMax"/>
        </c:scaling>
        <c:axPos val="l"/>
        <c:numFmt formatCode="General" sourceLinked="1"/>
        <c:tickLblPos val="low"/>
        <c:spPr>
          <a:ln w="3169">
            <a:solidFill>
              <a:srgbClr val="000000"/>
            </a:solidFill>
            <a:prstDash val="solid"/>
          </a:ln>
        </c:spPr>
        <c:txPr>
          <a:bodyPr rot="0" vert="horz"/>
          <a:lstStyle/>
          <a:p>
            <a:pPr>
              <a:defRPr sz="799" b="1" i="0" u="none" strike="noStrike" baseline="0">
                <a:solidFill>
                  <a:srgbClr val="000000"/>
                </a:solidFill>
                <a:latin typeface="Arial"/>
                <a:ea typeface="Arial"/>
                <a:cs typeface="Arial"/>
              </a:defRPr>
            </a:pPr>
            <a:endParaRPr lang="lt-LT"/>
          </a:p>
        </c:txPr>
        <c:crossAx val="189428096"/>
        <c:crosses val="autoZero"/>
        <c:auto val="1"/>
        <c:lblAlgn val="ctr"/>
        <c:lblOffset val="100"/>
        <c:tickLblSkip val="1"/>
        <c:tickMarkSkip val="1"/>
      </c:catAx>
      <c:valAx>
        <c:axId val="189428096"/>
        <c:scaling>
          <c:orientation val="minMax"/>
        </c:scaling>
        <c:axPos val="b"/>
        <c:numFmt formatCode="General" sourceLinked="1"/>
        <c:tickLblPos val="nextTo"/>
        <c:spPr>
          <a:ln w="3169">
            <a:solidFill>
              <a:srgbClr val="000000"/>
            </a:solidFill>
            <a:prstDash val="solid"/>
          </a:ln>
        </c:spPr>
        <c:txPr>
          <a:bodyPr rot="0" vert="horz"/>
          <a:lstStyle/>
          <a:p>
            <a:pPr>
              <a:defRPr sz="799" b="1" i="0" u="none" strike="noStrike" baseline="0">
                <a:solidFill>
                  <a:srgbClr val="000000"/>
                </a:solidFill>
                <a:latin typeface="Arial"/>
                <a:ea typeface="Arial"/>
                <a:cs typeface="Arial"/>
              </a:defRPr>
            </a:pPr>
            <a:endParaRPr lang="lt-LT"/>
          </a:p>
        </c:txPr>
        <c:crossAx val="189418112"/>
        <c:crosses val="autoZero"/>
        <c:crossBetween val="between"/>
      </c:valAx>
      <c:spPr>
        <a:noFill/>
        <a:ln w="25354">
          <a:noFill/>
        </a:ln>
      </c:spPr>
    </c:plotArea>
    <c:plotVisOnly val="1"/>
    <c:dispBlanksAs val="gap"/>
  </c:chart>
  <c:spPr>
    <a:solidFill>
      <a:srgbClr val="CCCCFF"/>
    </a:solidFill>
    <a:ln w="38100" cap="flat" cmpd="sng" algn="ctr">
      <a:solidFill>
        <a:srgbClr val="000000"/>
      </a:solidFill>
      <a:prstDash val="solid"/>
      <a:miter lim="800000"/>
      <a:headEnd type="none" w="med" len="med"/>
      <a:tailEnd type="none" w="med" len="med"/>
    </a:ln>
  </c:spPr>
  <c:txPr>
    <a:bodyPr/>
    <a:lstStyle/>
    <a:p>
      <a:pPr>
        <a:defRPr sz="799" b="1" i="0" u="none" strike="noStrike" baseline="0">
          <a:solidFill>
            <a:srgbClr val="000000"/>
          </a:solidFill>
          <a:latin typeface="Arial"/>
          <a:ea typeface="Arial"/>
          <a:cs typeface="Arial"/>
        </a:defRPr>
      </a:pPr>
      <a:endParaRPr lang="lt-LT"/>
    </a:p>
  </c:txPr>
  <c:externalData r:id="rId2"/>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148" b="1" i="0" u="none" strike="noStrike" baseline="0">
                <a:solidFill>
                  <a:srgbClr val="000000"/>
                </a:solidFill>
                <a:latin typeface="Arial"/>
                <a:ea typeface="Arial"/>
                <a:cs typeface="Arial"/>
              </a:defRPr>
            </a:pPr>
            <a:r>
              <a:rPr lang="lt-LT"/>
              <a:t>Gauti gyventojų prašymai pirminei teisinei pagalbai suteikti</a:t>
            </a:r>
          </a:p>
        </c:rich>
      </c:tx>
      <c:layout>
        <c:manualLayout>
          <c:xMode val="edge"/>
          <c:yMode val="edge"/>
          <c:x val="0.16071428571428725"/>
          <c:y val="1.9047619047619278E-2"/>
        </c:manualLayout>
      </c:layout>
      <c:spPr>
        <a:noFill/>
        <a:ln w="25359">
          <a:noFill/>
        </a:ln>
      </c:spPr>
    </c:title>
    <c:plotArea>
      <c:layout>
        <c:manualLayout>
          <c:layoutTarget val="inner"/>
          <c:xMode val="edge"/>
          <c:yMode val="edge"/>
          <c:x val="0.10876623376623633"/>
          <c:y val="0.23809523809524075"/>
          <c:w val="0.66558441558442316"/>
          <c:h val="0.71428571428571463"/>
        </c:manualLayout>
      </c:layout>
      <c:barChart>
        <c:barDir val="col"/>
        <c:grouping val="clustered"/>
        <c:ser>
          <c:idx val="0"/>
          <c:order val="0"/>
          <c:tx>
            <c:strRef>
              <c:f>Sheet1!$A$2</c:f>
              <c:strCache>
                <c:ptCount val="1"/>
                <c:pt idx="0">
                  <c:v>Kreipėsi gyventojai</c:v>
                </c:pt>
              </c:strCache>
            </c:strRef>
          </c:tx>
          <c:spPr>
            <a:gradFill rotWithShape="0">
              <a:gsLst>
                <a:gs pos="0">
                  <a:srgbClr val="FFFFFF"/>
                </a:gs>
                <a:gs pos="100000">
                  <a:srgbClr val="800000"/>
                </a:gs>
              </a:gsLst>
              <a:lin ang="5400000" scaled="1"/>
            </a:gradFill>
            <a:ln w="12680">
              <a:solidFill>
                <a:srgbClr val="000000"/>
              </a:solidFill>
              <a:prstDash val="solid"/>
            </a:ln>
          </c:spPr>
          <c:dLbls>
            <c:spPr>
              <a:noFill/>
              <a:ln w="25359">
                <a:noFill/>
              </a:ln>
            </c:spPr>
            <c:txPr>
              <a:bodyPr/>
              <a:lstStyle/>
              <a:p>
                <a:pPr>
                  <a:defRPr sz="924" b="1" i="0" u="none" strike="noStrike" baseline="0">
                    <a:solidFill>
                      <a:srgbClr val="000000"/>
                    </a:solidFill>
                    <a:latin typeface="Arial"/>
                    <a:ea typeface="Arial"/>
                    <a:cs typeface="Arial"/>
                  </a:defRPr>
                </a:pPr>
                <a:endParaRPr lang="lt-LT"/>
              </a:p>
            </c:txPr>
            <c:showVal val="1"/>
          </c:dLbls>
          <c:cat>
            <c:strRef>
              <c:f>Sheet1!$B$1:$E$1</c:f>
              <c:strCache>
                <c:ptCount val="3"/>
                <c:pt idx="0">
                  <c:v>2015 m.</c:v>
                </c:pt>
                <c:pt idx="1">
                  <c:v>2014 m.</c:v>
                </c:pt>
                <c:pt idx="2">
                  <c:v>2013 m. </c:v>
                </c:pt>
              </c:strCache>
            </c:strRef>
          </c:cat>
          <c:val>
            <c:numRef>
              <c:f>Sheet1!$B$2:$E$2</c:f>
              <c:numCache>
                <c:formatCode>General</c:formatCode>
                <c:ptCount val="4"/>
                <c:pt idx="0">
                  <c:v>153</c:v>
                </c:pt>
                <c:pt idx="1">
                  <c:v>149</c:v>
                </c:pt>
                <c:pt idx="2">
                  <c:v>217</c:v>
                </c:pt>
              </c:numCache>
            </c:numRef>
          </c:val>
        </c:ser>
        <c:dLbls>
          <c:showVal val="1"/>
        </c:dLbls>
        <c:axId val="189464576"/>
        <c:axId val="189466112"/>
      </c:barChart>
      <c:catAx>
        <c:axId val="189464576"/>
        <c:scaling>
          <c:orientation val="minMax"/>
        </c:scaling>
        <c:axPos val="b"/>
        <c:numFmt formatCode="General" sourceLinked="1"/>
        <c:tickLblPos val="nextTo"/>
        <c:spPr>
          <a:ln w="3170">
            <a:solidFill>
              <a:srgbClr val="000000"/>
            </a:solidFill>
            <a:prstDash val="solid"/>
          </a:ln>
        </c:spPr>
        <c:txPr>
          <a:bodyPr rot="0" vert="horz"/>
          <a:lstStyle/>
          <a:p>
            <a:pPr>
              <a:defRPr sz="924" b="1" i="0" u="none" strike="noStrike" baseline="0">
                <a:solidFill>
                  <a:srgbClr val="000000"/>
                </a:solidFill>
                <a:latin typeface="Arial"/>
                <a:ea typeface="Arial"/>
                <a:cs typeface="Arial"/>
              </a:defRPr>
            </a:pPr>
            <a:endParaRPr lang="lt-LT"/>
          </a:p>
        </c:txPr>
        <c:crossAx val="189466112"/>
        <c:crosses val="autoZero"/>
        <c:auto val="1"/>
        <c:lblAlgn val="ctr"/>
        <c:lblOffset val="100"/>
        <c:tickLblSkip val="1"/>
        <c:tickMarkSkip val="1"/>
      </c:catAx>
      <c:valAx>
        <c:axId val="189466112"/>
        <c:scaling>
          <c:orientation val="minMax"/>
        </c:scaling>
        <c:delete val="1"/>
        <c:axPos val="l"/>
        <c:numFmt formatCode="General" sourceLinked="1"/>
        <c:tickLblPos val="nextTo"/>
        <c:crossAx val="189464576"/>
        <c:crosses val="autoZero"/>
        <c:crossBetween val="between"/>
      </c:valAx>
      <c:spPr>
        <a:solidFill>
          <a:srgbClr val="C0504D">
            <a:alpha val="86000"/>
          </a:srgbClr>
        </a:solidFill>
        <a:ln w="12680" cmpd="thinThick">
          <a:solidFill>
            <a:srgbClr val="808080"/>
          </a:solidFill>
          <a:prstDash val="solid"/>
          <a:bevel/>
        </a:ln>
      </c:spPr>
    </c:plotArea>
    <c:legend>
      <c:legendPos val="r"/>
      <c:layout>
        <c:manualLayout>
          <c:xMode val="edge"/>
          <c:yMode val="edge"/>
          <c:x val="0.7808441558441559"/>
          <c:y val="0.56666666666666654"/>
          <c:w val="0.19644133000121625"/>
          <c:h val="9.2433378260149926E-2"/>
        </c:manualLayout>
      </c:layout>
      <c:spPr>
        <a:noFill/>
        <a:ln w="3170">
          <a:solidFill>
            <a:srgbClr val="000000"/>
          </a:solidFill>
          <a:prstDash val="solid"/>
        </a:ln>
      </c:spPr>
      <c:txPr>
        <a:bodyPr/>
        <a:lstStyle/>
        <a:p>
          <a:pPr>
            <a:defRPr sz="849" b="1" i="0" u="none" strike="noStrike" baseline="0">
              <a:solidFill>
                <a:srgbClr val="000000"/>
              </a:solidFill>
              <a:latin typeface="Arial"/>
              <a:ea typeface="Arial"/>
              <a:cs typeface="Arial"/>
            </a:defRPr>
          </a:pPr>
          <a:endParaRPr lang="lt-LT"/>
        </a:p>
      </c:txPr>
    </c:legend>
    <c:plotVisOnly val="1"/>
    <c:dispBlanksAs val="gap"/>
  </c:chart>
  <c:spPr>
    <a:solidFill>
      <a:srgbClr val="FFCC99"/>
    </a:solidFill>
    <a:ln w="3170">
      <a:solidFill>
        <a:srgbClr val="000000"/>
      </a:solidFill>
      <a:prstDash val="solid"/>
    </a:ln>
    <a:effectLst>
      <a:outerShdw dist="35921" dir="2700000" algn="br">
        <a:srgbClr val="000000"/>
      </a:outerShdw>
    </a:effectLst>
  </c:spPr>
  <c:txPr>
    <a:bodyPr/>
    <a:lstStyle/>
    <a:p>
      <a:pPr>
        <a:defRPr sz="924" b="1" i="0" u="none" strike="noStrike" baseline="0">
          <a:solidFill>
            <a:srgbClr val="000000"/>
          </a:solidFill>
          <a:latin typeface="Arial"/>
          <a:ea typeface="Arial"/>
          <a:cs typeface="Arial"/>
        </a:defRPr>
      </a:pPr>
      <a:endParaRPr lang="lt-LT"/>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200" b="1" i="0" u="none" strike="noStrike" baseline="0">
                <a:solidFill>
                  <a:srgbClr val="000000"/>
                </a:solidFill>
                <a:latin typeface="Arial"/>
                <a:ea typeface="Arial"/>
                <a:cs typeface="Arial"/>
              </a:defRPr>
            </a:pPr>
            <a:r>
              <a:rPr lang="lt-LT"/>
              <a:t>RIETAVO SAVIVALDYBĖS 2013 M. - 2015 M. BIUDŽETO PAJAMŲ ĮVYKDYMAS</a:t>
            </a:r>
          </a:p>
        </c:rich>
      </c:tx>
      <c:layout>
        <c:manualLayout>
          <c:xMode val="edge"/>
          <c:yMode val="edge"/>
          <c:x val="0.14613180515759341"/>
          <c:y val="3.4383966567285942E-2"/>
        </c:manualLayout>
      </c:layout>
      <c:spPr>
        <a:noFill/>
        <a:ln w="25400">
          <a:noFill/>
        </a:ln>
      </c:spPr>
    </c:title>
    <c:plotArea>
      <c:layout>
        <c:manualLayout>
          <c:layoutTarget val="inner"/>
          <c:xMode val="edge"/>
          <c:yMode val="edge"/>
          <c:x val="0.34527220630372496"/>
          <c:y val="0.25788001695695645"/>
          <c:w val="0.63467048710602214"/>
          <c:h val="0.38108935839194596"/>
        </c:manualLayout>
      </c:layout>
      <c:barChart>
        <c:barDir val="col"/>
        <c:grouping val="clustered"/>
        <c:ser>
          <c:idx val="0"/>
          <c:order val="0"/>
          <c:tx>
            <c:strRef>
              <c:f>pajam!$C$14</c:f>
              <c:strCache>
                <c:ptCount val="1"/>
                <c:pt idx="0">
                  <c:v>Patvirtintas biudžeto Pl. (be likučių M.Pr. ir skolintų lėšų)</c:v>
                </c:pt>
              </c:strCache>
            </c:strRef>
          </c:tx>
          <c:spPr>
            <a:solidFill>
              <a:srgbClr val="9999FF"/>
            </a:solidFill>
            <a:ln w="12700">
              <a:solidFill>
                <a:srgbClr val="000000"/>
              </a:solidFill>
              <a:prstDash val="solid"/>
            </a:ln>
          </c:spPr>
          <c:cat>
            <c:strRef>
              <c:f>pajam!$D$13:$F$13</c:f>
              <c:strCache>
                <c:ptCount val="3"/>
                <c:pt idx="0">
                  <c:v>2013 m.</c:v>
                </c:pt>
                <c:pt idx="1">
                  <c:v>2014 m.</c:v>
                </c:pt>
                <c:pt idx="2">
                  <c:v>2015 m.</c:v>
                </c:pt>
              </c:strCache>
            </c:strRef>
          </c:cat>
          <c:val>
            <c:numRef>
              <c:f>pajam!$D$14:$F$14</c:f>
              <c:numCache>
                <c:formatCode>General</c:formatCode>
                <c:ptCount val="3"/>
                <c:pt idx="0">
                  <c:v>5875.8</c:v>
                </c:pt>
                <c:pt idx="1">
                  <c:v>6048.3</c:v>
                </c:pt>
                <c:pt idx="2">
                  <c:v>7684.8</c:v>
                </c:pt>
              </c:numCache>
            </c:numRef>
          </c:val>
        </c:ser>
        <c:ser>
          <c:idx val="1"/>
          <c:order val="1"/>
          <c:tx>
            <c:strRef>
              <c:f>pajam!$C$15</c:f>
              <c:strCache>
                <c:ptCount val="1"/>
                <c:pt idx="0">
                  <c:v>Patikslintas biudžeto Pl. (be likučių M.Pr. ir skolintų lėšų)</c:v>
                </c:pt>
              </c:strCache>
            </c:strRef>
          </c:tx>
          <c:spPr>
            <a:solidFill>
              <a:srgbClr val="993366"/>
            </a:solidFill>
            <a:ln w="12700">
              <a:solidFill>
                <a:srgbClr val="000000"/>
              </a:solidFill>
              <a:prstDash val="solid"/>
            </a:ln>
          </c:spPr>
          <c:cat>
            <c:strRef>
              <c:f>pajam!$D$13:$F$13</c:f>
              <c:strCache>
                <c:ptCount val="3"/>
                <c:pt idx="0">
                  <c:v>2013 m.</c:v>
                </c:pt>
                <c:pt idx="1">
                  <c:v>2014 m.</c:v>
                </c:pt>
                <c:pt idx="2">
                  <c:v>2015 m.</c:v>
                </c:pt>
              </c:strCache>
            </c:strRef>
          </c:cat>
          <c:val>
            <c:numRef>
              <c:f>pajam!$D$15:$F$15</c:f>
              <c:numCache>
                <c:formatCode>0.0</c:formatCode>
                <c:ptCount val="3"/>
                <c:pt idx="0" formatCode="General">
                  <c:v>5919.8</c:v>
                </c:pt>
                <c:pt idx="1">
                  <c:v>5992</c:v>
                </c:pt>
                <c:pt idx="2" formatCode="General">
                  <c:v>8631.7999999999811</c:v>
                </c:pt>
              </c:numCache>
            </c:numRef>
          </c:val>
        </c:ser>
        <c:ser>
          <c:idx val="2"/>
          <c:order val="2"/>
          <c:tx>
            <c:strRef>
              <c:f>pajam!$C$16</c:f>
              <c:strCache>
                <c:ptCount val="1"/>
                <c:pt idx="0">
                  <c:v>Biudžeto įvykdymas </c:v>
                </c:pt>
              </c:strCache>
            </c:strRef>
          </c:tx>
          <c:spPr>
            <a:solidFill>
              <a:srgbClr val="FFFFCC"/>
            </a:solidFill>
            <a:ln w="12700">
              <a:solidFill>
                <a:srgbClr val="000000"/>
              </a:solidFill>
              <a:prstDash val="solid"/>
            </a:ln>
          </c:spPr>
          <c:cat>
            <c:strRef>
              <c:f>pajam!$D$13:$F$13</c:f>
              <c:strCache>
                <c:ptCount val="3"/>
                <c:pt idx="0">
                  <c:v>2013 m.</c:v>
                </c:pt>
                <c:pt idx="1">
                  <c:v>2014 m.</c:v>
                </c:pt>
                <c:pt idx="2">
                  <c:v>2015 m.</c:v>
                </c:pt>
              </c:strCache>
            </c:strRef>
          </c:cat>
          <c:val>
            <c:numRef>
              <c:f>pajam!$D$16:$F$16</c:f>
              <c:numCache>
                <c:formatCode>0.0</c:formatCode>
                <c:ptCount val="3"/>
                <c:pt idx="0">
                  <c:v>5838.1</c:v>
                </c:pt>
                <c:pt idx="1">
                  <c:v>6020.9</c:v>
                </c:pt>
                <c:pt idx="2">
                  <c:v>8451.4</c:v>
                </c:pt>
              </c:numCache>
            </c:numRef>
          </c:val>
        </c:ser>
        <c:ser>
          <c:idx val="3"/>
          <c:order val="3"/>
          <c:tx>
            <c:strRef>
              <c:f>pajam!$C$17</c:f>
              <c:strCache>
                <c:ptCount val="1"/>
                <c:pt idx="0">
                  <c:v>Skolintos lėšos</c:v>
                </c:pt>
              </c:strCache>
            </c:strRef>
          </c:tx>
          <c:spPr>
            <a:solidFill>
              <a:srgbClr val="CCFFFF"/>
            </a:solidFill>
            <a:ln w="12700">
              <a:solidFill>
                <a:srgbClr val="000000"/>
              </a:solidFill>
              <a:prstDash val="solid"/>
            </a:ln>
          </c:spPr>
          <c:cat>
            <c:strRef>
              <c:f>pajam!$D$13:$F$13</c:f>
              <c:strCache>
                <c:ptCount val="3"/>
                <c:pt idx="0">
                  <c:v>2013 m.</c:v>
                </c:pt>
                <c:pt idx="1">
                  <c:v>2014 m.</c:v>
                </c:pt>
                <c:pt idx="2">
                  <c:v>2015 m.</c:v>
                </c:pt>
              </c:strCache>
            </c:strRef>
          </c:cat>
          <c:val>
            <c:numRef>
              <c:f>pajam!$D$17:$F$17</c:f>
              <c:numCache>
                <c:formatCode>General</c:formatCode>
                <c:ptCount val="3"/>
                <c:pt idx="0">
                  <c:v>380.9</c:v>
                </c:pt>
                <c:pt idx="1">
                  <c:v>166.6</c:v>
                </c:pt>
                <c:pt idx="2">
                  <c:v>355.4</c:v>
                </c:pt>
              </c:numCache>
            </c:numRef>
          </c:val>
        </c:ser>
        <c:axId val="173889024"/>
        <c:axId val="173890560"/>
      </c:barChart>
      <c:catAx>
        <c:axId val="173889024"/>
        <c:scaling>
          <c:orientation val="minMax"/>
        </c:scaling>
        <c:axPos val="b"/>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73890560"/>
        <c:crosses val="autoZero"/>
        <c:auto val="1"/>
        <c:lblAlgn val="ctr"/>
        <c:lblOffset val="100"/>
        <c:tickMarkSkip val="1"/>
      </c:catAx>
      <c:valAx>
        <c:axId val="17389056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73889024"/>
        <c:crosses val="autoZero"/>
        <c:crossBetween val="between"/>
      </c:valAx>
      <c:dTable>
        <c:showHorzBorder val="1"/>
        <c:showVertBorder val="1"/>
        <c:showOutline val="1"/>
        <c:showKeys val="1"/>
        <c:spPr>
          <a:ln w="3175">
            <a:solidFill>
              <a:srgbClr val="000000"/>
            </a:solidFill>
            <a:prstDash val="solid"/>
          </a:ln>
        </c:spPr>
        <c:txPr>
          <a:bodyPr/>
          <a:lstStyle/>
          <a:p>
            <a:pPr rtl="0">
              <a:defRPr sz="1000" b="0" i="0" u="none" strike="noStrike" baseline="0">
                <a:solidFill>
                  <a:srgbClr val="000000"/>
                </a:solidFill>
                <a:latin typeface="Arial"/>
                <a:ea typeface="Arial"/>
                <a:cs typeface="Arial"/>
              </a:defRPr>
            </a:pPr>
            <a:endParaRPr lang="lt-LT"/>
          </a:p>
        </c:txPr>
      </c:dTable>
      <c:spPr>
        <a:solidFill>
          <a:srgbClr val="C0C0C0"/>
        </a:solidFill>
        <a:ln w="12700">
          <a:solidFill>
            <a:srgbClr val="808080"/>
          </a:solidFill>
          <a:prstDash val="solid"/>
        </a:ln>
      </c:spPr>
    </c:plotArea>
    <c:plotVisOnly val="1"/>
    <c:dispBlanksAs val="gap"/>
  </c:chart>
  <c:spPr>
    <a:solidFill>
      <a:srgbClr val="FFFFCC"/>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lt-LT"/>
  <c:chart>
    <c:title>
      <c:tx>
        <c:rich>
          <a:bodyPr/>
          <a:lstStyle/>
          <a:p>
            <a:pPr>
              <a:defRPr sz="1400">
                <a:latin typeface="Times New Roman" pitchFamily="18" charset="0"/>
                <a:cs typeface="Times New Roman" pitchFamily="18" charset="0"/>
              </a:defRPr>
            </a:pPr>
            <a:r>
              <a:rPr lang="en-US" sz="1400">
                <a:latin typeface="Times New Roman" pitchFamily="18" charset="0"/>
                <a:cs typeface="Times New Roman" pitchFamily="18" charset="0"/>
              </a:rPr>
              <a:t>Rietavo</a:t>
            </a:r>
            <a:r>
              <a:rPr lang="lt-LT" sz="1400">
                <a:latin typeface="Times New Roman" pitchFamily="18" charset="0"/>
                <a:cs typeface="Times New Roman" pitchFamily="18" charset="0"/>
              </a:rPr>
              <a:t> savivaldybės administracijos ir biudžetinių įstaigų darbuotojų darbo užmokesčio dinamika 2013-2015 m. Eur (skaičiuojant 1 etatui)</a:t>
            </a:r>
            <a:r>
              <a:rPr lang="en-US" sz="1400">
                <a:latin typeface="Times New Roman" pitchFamily="18" charset="0"/>
                <a:cs typeface="Times New Roman" pitchFamily="18" charset="0"/>
              </a:rPr>
              <a:t> </a:t>
            </a:r>
          </a:p>
        </c:rich>
      </c:tx>
      <c:layout>
        <c:manualLayout>
          <c:xMode val="edge"/>
          <c:yMode val="edge"/>
          <c:x val="0.13211701798144798"/>
          <c:y val="5.9259259259259262E-2"/>
        </c:manualLayout>
      </c:layout>
    </c:title>
    <c:plotArea>
      <c:layout>
        <c:manualLayout>
          <c:layoutTarget val="inner"/>
          <c:xMode val="edge"/>
          <c:yMode val="edge"/>
          <c:x val="0.11102777777777778"/>
          <c:y val="0.45370370370370372"/>
          <c:w val="0.69052777777777752"/>
          <c:h val="0.28486111111111112"/>
        </c:manualLayout>
      </c:layout>
      <c:lineChart>
        <c:grouping val="standard"/>
        <c:ser>
          <c:idx val="0"/>
          <c:order val="0"/>
          <c:marker>
            <c:symbol val="none"/>
          </c:marker>
          <c:dLbls>
            <c:dLbl>
              <c:idx val="0"/>
              <c:layout>
                <c:manualLayout>
                  <c:x val="-3.3333333333333305E-2"/>
                  <c:y val="-4.6296296296296523E-2"/>
                </c:manualLayout>
              </c:layout>
              <c:dLblPos val="r"/>
              <c:showVal val="1"/>
            </c:dLbl>
            <c:dLbl>
              <c:idx val="1"/>
              <c:layout>
                <c:manualLayout>
                  <c:x val="-1.1111111111111125E-2"/>
                  <c:y val="-6.0185185185185147E-2"/>
                </c:manualLayout>
              </c:layout>
              <c:dLblPos val="r"/>
              <c:showVal val="1"/>
            </c:dLbl>
            <c:dLbl>
              <c:idx val="2"/>
              <c:layout>
                <c:manualLayout>
                  <c:x val="-2.7777777777778525E-3"/>
                  <c:y val="-4.6296296296296523E-2"/>
                </c:manualLayout>
              </c:layout>
              <c:dLblPos val="r"/>
              <c:showVal val="1"/>
            </c:dLbl>
            <c:txPr>
              <a:bodyPr/>
              <a:lstStyle/>
              <a:p>
                <a:pPr>
                  <a:defRPr sz="1100" b="1">
                    <a:latin typeface="Times New Roman" pitchFamily="18" charset="0"/>
                    <a:cs typeface="Times New Roman" pitchFamily="18" charset="0"/>
                  </a:defRPr>
                </a:pPr>
                <a:endParaRPr lang="lt-LT"/>
              </a:p>
            </c:txPr>
            <c:showVal val="1"/>
          </c:dLbls>
          <c:cat>
            <c:strRef>
              <c:f>'Mero atask. už 2015 m.'!$B$112:$B$114</c:f>
              <c:strCache>
                <c:ptCount val="3"/>
                <c:pt idx="0">
                  <c:v>2013 m.</c:v>
                </c:pt>
                <c:pt idx="1">
                  <c:v>2014 m.</c:v>
                </c:pt>
                <c:pt idx="2">
                  <c:v>2015 m.</c:v>
                </c:pt>
              </c:strCache>
            </c:strRef>
          </c:cat>
          <c:val>
            <c:numRef>
              <c:f>'Mero atask. už 2015 m.'!$C$112:$C$114</c:f>
              <c:numCache>
                <c:formatCode>General</c:formatCode>
                <c:ptCount val="3"/>
                <c:pt idx="0">
                  <c:v>459</c:v>
                </c:pt>
                <c:pt idx="1">
                  <c:v>476</c:v>
                </c:pt>
                <c:pt idx="2">
                  <c:v>519</c:v>
                </c:pt>
              </c:numCache>
            </c:numRef>
          </c:val>
        </c:ser>
        <c:marker val="1"/>
        <c:axId val="173941504"/>
        <c:axId val="173943040"/>
      </c:lineChart>
      <c:catAx>
        <c:axId val="173941504"/>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lt-LT"/>
          </a:p>
        </c:txPr>
        <c:crossAx val="173943040"/>
        <c:crosses val="autoZero"/>
        <c:auto val="1"/>
        <c:lblAlgn val="ctr"/>
        <c:lblOffset val="100"/>
      </c:catAx>
      <c:valAx>
        <c:axId val="173943040"/>
        <c:scaling>
          <c:orientation val="minMax"/>
        </c:scaling>
        <c:delete val="1"/>
        <c:axPos val="l"/>
        <c:majorGridlines/>
        <c:numFmt formatCode="General" sourceLinked="1"/>
        <c:tickLblPos val="none"/>
        <c:crossAx val="173941504"/>
        <c:crosses val="autoZero"/>
        <c:crossBetween val="between"/>
      </c:valAx>
    </c:plotArea>
    <c:plotVisOnly val="1"/>
    <c:dispBlanksAs val="gap"/>
  </c:chart>
  <c:spPr>
    <a:gradFill>
      <a:gsLst>
        <a:gs pos="0">
          <a:srgbClr val="FBEAC7"/>
        </a:gs>
        <a:gs pos="17999">
          <a:srgbClr val="FEE7F2"/>
        </a:gs>
        <a:gs pos="36000">
          <a:srgbClr val="FAC77D"/>
        </a:gs>
        <a:gs pos="61000">
          <a:srgbClr val="FBA97D"/>
        </a:gs>
        <a:gs pos="82001">
          <a:srgbClr val="FBD49C"/>
        </a:gs>
        <a:gs pos="100000">
          <a:srgbClr val="FEE7F2"/>
        </a:gs>
      </a:gsLst>
      <a:lin ang="5400000" scaled="0"/>
    </a:gradFill>
    <a:ln>
      <a:solidFill>
        <a:schemeClr val="bg2">
          <a:lumMod val="50000"/>
        </a:schemeClr>
      </a:solidFill>
    </a:ln>
    <a:effectLst>
      <a:outerShdw blurRad="50800" dist="50800" dir="5400000" algn="ctr" rotWithShape="0">
        <a:schemeClr val="bg2">
          <a:lumMod val="10000"/>
        </a:schemeClr>
      </a:outerShdw>
    </a:effectLst>
  </c:spPr>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65D6C0-2EA2-4477-A85A-5D931F9F52BB}" type="doc">
      <dgm:prSet loTypeId="urn:microsoft.com/office/officeart/2005/8/layout/orgChart1" loCatId="hierarchy" qsTypeId="urn:microsoft.com/office/officeart/2005/8/quickstyle/simple1" qsCatId="simple" csTypeId="urn:microsoft.com/office/officeart/2005/8/colors/accent1_2" csCatId="accent1"/>
      <dgm:spPr/>
    </dgm:pt>
    <dgm:pt modelId="{96D4111E-A795-4515-A8D7-2EA412232981}">
      <dgm:prSet/>
      <dgm:spPr/>
      <dgm:t>
        <a:bodyPr/>
        <a:lstStyle/>
        <a:p>
          <a:pPr marR="0" algn="ctr" rtl="0"/>
          <a:r>
            <a:rPr lang="lt-LT" b="1" baseline="0" smtClean="0">
              <a:latin typeface="Calibri"/>
            </a:rPr>
            <a:t>RIETAVO SAVIVALDYBĖS TARYBA</a:t>
          </a:r>
          <a:endParaRPr lang="lt-LT" smtClean="0"/>
        </a:p>
      </dgm:t>
    </dgm:pt>
    <dgm:pt modelId="{380225A9-229D-4772-9B5A-B537A7A3FB04}" type="parTrans" cxnId="{C1F2168F-1464-4829-93EF-CFDE2FD7A9AE}">
      <dgm:prSet/>
      <dgm:spPr/>
      <dgm:t>
        <a:bodyPr/>
        <a:lstStyle/>
        <a:p>
          <a:endParaRPr lang="lt-LT"/>
        </a:p>
      </dgm:t>
    </dgm:pt>
    <dgm:pt modelId="{B9372A11-C1D9-4C3D-9E99-C171AA0D1390}" type="sibTrans" cxnId="{C1F2168F-1464-4829-93EF-CFDE2FD7A9AE}">
      <dgm:prSet/>
      <dgm:spPr/>
      <dgm:t>
        <a:bodyPr/>
        <a:lstStyle/>
        <a:p>
          <a:endParaRPr lang="lt-LT"/>
        </a:p>
      </dgm:t>
    </dgm:pt>
    <dgm:pt modelId="{8F34487A-4AA8-425D-AB0C-4F9F243962D4}">
      <dgm:prSet/>
      <dgm:spPr/>
      <dgm:t>
        <a:bodyPr/>
        <a:lstStyle/>
        <a:p>
          <a:pPr marR="0" algn="ctr" rtl="0"/>
          <a:r>
            <a:rPr lang="lt-LT" b="1" baseline="0" smtClean="0">
              <a:latin typeface="Calibri"/>
            </a:rPr>
            <a:t>FINANSŲ IR EKONOMIKOS KOMITETAS</a:t>
          </a:r>
          <a:endParaRPr lang="lt-LT" smtClean="0"/>
        </a:p>
      </dgm:t>
    </dgm:pt>
    <dgm:pt modelId="{3B3280EF-C57C-43ED-9AAB-0715430D4984}" type="parTrans" cxnId="{8322E115-2BD4-45A7-8191-04ECE0373D64}">
      <dgm:prSet/>
      <dgm:spPr/>
      <dgm:t>
        <a:bodyPr/>
        <a:lstStyle/>
        <a:p>
          <a:endParaRPr lang="lt-LT"/>
        </a:p>
      </dgm:t>
    </dgm:pt>
    <dgm:pt modelId="{E49A1DC4-3611-4837-988E-664AAFA3F664}" type="sibTrans" cxnId="{8322E115-2BD4-45A7-8191-04ECE0373D64}">
      <dgm:prSet/>
      <dgm:spPr/>
      <dgm:t>
        <a:bodyPr/>
        <a:lstStyle/>
        <a:p>
          <a:endParaRPr lang="lt-LT"/>
        </a:p>
      </dgm:t>
    </dgm:pt>
    <dgm:pt modelId="{EA97EEF1-684B-4350-B384-1EC6F5AEE7ED}">
      <dgm:prSet/>
      <dgm:spPr/>
      <dgm:t>
        <a:bodyPr/>
        <a:lstStyle/>
        <a:p>
          <a:pPr marR="0" algn="ctr" rtl="0"/>
          <a:r>
            <a:rPr lang="lt-LT" b="1" baseline="0" smtClean="0">
              <a:latin typeface="Calibri"/>
            </a:rPr>
            <a:t>SVEIKATOS IR SOCIALINĖS PARAMOS KOMITETAS</a:t>
          </a:r>
          <a:endParaRPr lang="lt-LT" smtClean="0"/>
        </a:p>
      </dgm:t>
    </dgm:pt>
    <dgm:pt modelId="{5B2FEDAD-3DFD-4FD9-ABED-B41F9B8A6BE0}" type="parTrans" cxnId="{917D9182-1825-43FD-9B52-8A2F357F5ED6}">
      <dgm:prSet/>
      <dgm:spPr/>
      <dgm:t>
        <a:bodyPr/>
        <a:lstStyle/>
        <a:p>
          <a:endParaRPr lang="lt-LT"/>
        </a:p>
      </dgm:t>
    </dgm:pt>
    <dgm:pt modelId="{AC07A070-3F22-4596-B840-D84C09F572F2}" type="sibTrans" cxnId="{917D9182-1825-43FD-9B52-8A2F357F5ED6}">
      <dgm:prSet/>
      <dgm:spPr/>
      <dgm:t>
        <a:bodyPr/>
        <a:lstStyle/>
        <a:p>
          <a:endParaRPr lang="lt-LT"/>
        </a:p>
      </dgm:t>
    </dgm:pt>
    <dgm:pt modelId="{316A37B1-E38B-4540-A959-126BB05AA1C7}">
      <dgm:prSet/>
      <dgm:spPr/>
      <dgm:t>
        <a:bodyPr/>
        <a:lstStyle/>
        <a:p>
          <a:pPr marR="0" algn="ctr" rtl="0"/>
          <a:r>
            <a:rPr lang="lt-LT" b="1" baseline="0" smtClean="0">
              <a:latin typeface="Calibri"/>
            </a:rPr>
            <a:t>ŠVIETIMO, KULTŪROS IR SPORTO KOMITETAS</a:t>
          </a:r>
          <a:endParaRPr lang="lt-LT" smtClean="0"/>
        </a:p>
      </dgm:t>
    </dgm:pt>
    <dgm:pt modelId="{FADE26B4-EDD3-4DA8-B223-2E44B030C754}" type="parTrans" cxnId="{D6C7B9F8-74C5-49B1-A46E-BCD46914E6AA}">
      <dgm:prSet/>
      <dgm:spPr/>
      <dgm:t>
        <a:bodyPr/>
        <a:lstStyle/>
        <a:p>
          <a:endParaRPr lang="lt-LT"/>
        </a:p>
      </dgm:t>
    </dgm:pt>
    <dgm:pt modelId="{FF7EF8FE-B199-4B2D-BB72-C327527CF3EC}" type="sibTrans" cxnId="{D6C7B9F8-74C5-49B1-A46E-BCD46914E6AA}">
      <dgm:prSet/>
      <dgm:spPr/>
      <dgm:t>
        <a:bodyPr/>
        <a:lstStyle/>
        <a:p>
          <a:endParaRPr lang="lt-LT"/>
        </a:p>
      </dgm:t>
    </dgm:pt>
    <dgm:pt modelId="{F02D3547-83E6-41D7-AEBB-B356B5FB8EC0}">
      <dgm:prSet/>
      <dgm:spPr/>
      <dgm:t>
        <a:bodyPr/>
        <a:lstStyle/>
        <a:p>
          <a:pPr marR="0" algn="ctr" rtl="0"/>
          <a:r>
            <a:rPr lang="lt-LT" b="1" baseline="0" smtClean="0">
              <a:latin typeface="Calibri"/>
            </a:rPr>
            <a:t>ŪKIO PLĖTROS IR EKOLOGIJOS KOMITETAS</a:t>
          </a:r>
        </a:p>
        <a:p>
          <a:pPr marR="0" algn="ctr" rtl="0"/>
          <a:endParaRPr lang="lt-LT" baseline="0" smtClean="0">
            <a:latin typeface="Times New Roman"/>
          </a:endParaRPr>
        </a:p>
      </dgm:t>
    </dgm:pt>
    <dgm:pt modelId="{1D9F3F32-CD62-4395-ABC0-597F9F64C72A}" type="parTrans" cxnId="{61857540-904C-4689-9C99-F5C6EC9C4C6B}">
      <dgm:prSet/>
      <dgm:spPr/>
      <dgm:t>
        <a:bodyPr/>
        <a:lstStyle/>
        <a:p>
          <a:endParaRPr lang="lt-LT"/>
        </a:p>
      </dgm:t>
    </dgm:pt>
    <dgm:pt modelId="{3B243754-7268-435F-B779-3FDA62868999}" type="sibTrans" cxnId="{61857540-904C-4689-9C99-F5C6EC9C4C6B}">
      <dgm:prSet/>
      <dgm:spPr/>
      <dgm:t>
        <a:bodyPr/>
        <a:lstStyle/>
        <a:p>
          <a:endParaRPr lang="lt-LT"/>
        </a:p>
      </dgm:t>
    </dgm:pt>
    <dgm:pt modelId="{8ECC3A75-A42C-412E-A829-7E30A332B03D}">
      <dgm:prSet/>
      <dgm:spPr/>
      <dgm:t>
        <a:bodyPr/>
        <a:lstStyle/>
        <a:p>
          <a:pPr marR="0" algn="ctr" rtl="0"/>
          <a:r>
            <a:rPr lang="lt-LT" b="1" baseline="0" smtClean="0">
              <a:latin typeface="Calibri"/>
            </a:rPr>
            <a:t>KONTROLĖS KOMITETAS</a:t>
          </a:r>
          <a:endParaRPr lang="lt-LT" smtClean="0"/>
        </a:p>
      </dgm:t>
    </dgm:pt>
    <dgm:pt modelId="{F02D1184-8324-4AAF-8F24-83B27403DA51}" type="parTrans" cxnId="{BA29E5BD-8782-4A90-A41E-9C0FE3C0892E}">
      <dgm:prSet/>
      <dgm:spPr/>
      <dgm:t>
        <a:bodyPr/>
        <a:lstStyle/>
        <a:p>
          <a:endParaRPr lang="lt-LT"/>
        </a:p>
      </dgm:t>
    </dgm:pt>
    <dgm:pt modelId="{1807F180-65B6-4818-A4FA-77CF4FD591DA}" type="sibTrans" cxnId="{BA29E5BD-8782-4A90-A41E-9C0FE3C0892E}">
      <dgm:prSet/>
      <dgm:spPr/>
      <dgm:t>
        <a:bodyPr/>
        <a:lstStyle/>
        <a:p>
          <a:endParaRPr lang="lt-LT"/>
        </a:p>
      </dgm:t>
    </dgm:pt>
    <dgm:pt modelId="{89378243-76FA-426C-9CC7-E8FAF98B1F20}" type="pres">
      <dgm:prSet presAssocID="{2B65D6C0-2EA2-4477-A85A-5D931F9F52BB}" presName="hierChild1" presStyleCnt="0">
        <dgm:presLayoutVars>
          <dgm:orgChart val="1"/>
          <dgm:chPref val="1"/>
          <dgm:dir/>
          <dgm:animOne val="branch"/>
          <dgm:animLvl val="lvl"/>
          <dgm:resizeHandles/>
        </dgm:presLayoutVars>
      </dgm:prSet>
      <dgm:spPr/>
    </dgm:pt>
    <dgm:pt modelId="{0466DA06-DA77-45DC-9A1B-D2201E807600}" type="pres">
      <dgm:prSet presAssocID="{96D4111E-A795-4515-A8D7-2EA412232981}" presName="hierRoot1" presStyleCnt="0">
        <dgm:presLayoutVars>
          <dgm:hierBranch/>
        </dgm:presLayoutVars>
      </dgm:prSet>
      <dgm:spPr/>
    </dgm:pt>
    <dgm:pt modelId="{04DAC24A-A02F-4410-ACEE-93EB8A025318}" type="pres">
      <dgm:prSet presAssocID="{96D4111E-A795-4515-A8D7-2EA412232981}" presName="rootComposite1" presStyleCnt="0"/>
      <dgm:spPr/>
    </dgm:pt>
    <dgm:pt modelId="{F6177A66-5411-4240-A6DC-702D13BA3A60}" type="pres">
      <dgm:prSet presAssocID="{96D4111E-A795-4515-A8D7-2EA412232981}" presName="rootText1" presStyleLbl="node0" presStyleIdx="0" presStyleCnt="1">
        <dgm:presLayoutVars>
          <dgm:chPref val="3"/>
        </dgm:presLayoutVars>
      </dgm:prSet>
      <dgm:spPr/>
      <dgm:t>
        <a:bodyPr/>
        <a:lstStyle/>
        <a:p>
          <a:endParaRPr lang="lt-LT"/>
        </a:p>
      </dgm:t>
    </dgm:pt>
    <dgm:pt modelId="{CBDA750C-589C-4865-8F9E-0D990F73AB16}" type="pres">
      <dgm:prSet presAssocID="{96D4111E-A795-4515-A8D7-2EA412232981}" presName="rootConnector1" presStyleLbl="node1" presStyleIdx="0" presStyleCnt="0"/>
      <dgm:spPr/>
      <dgm:t>
        <a:bodyPr/>
        <a:lstStyle/>
        <a:p>
          <a:endParaRPr lang="lt-LT"/>
        </a:p>
      </dgm:t>
    </dgm:pt>
    <dgm:pt modelId="{4F23AA5A-1924-4BFD-8BAD-09C3205CF101}" type="pres">
      <dgm:prSet presAssocID="{96D4111E-A795-4515-A8D7-2EA412232981}" presName="hierChild2" presStyleCnt="0"/>
      <dgm:spPr/>
    </dgm:pt>
    <dgm:pt modelId="{F38A3FDC-106B-41AC-B8BE-82A80AC14AC3}" type="pres">
      <dgm:prSet presAssocID="{3B3280EF-C57C-43ED-9AAB-0715430D4984}" presName="Name35" presStyleLbl="parChTrans1D2" presStyleIdx="0" presStyleCnt="5"/>
      <dgm:spPr/>
      <dgm:t>
        <a:bodyPr/>
        <a:lstStyle/>
        <a:p>
          <a:endParaRPr lang="lt-LT"/>
        </a:p>
      </dgm:t>
    </dgm:pt>
    <dgm:pt modelId="{7C1AA565-4F5D-4975-8FD1-F2D0A572EB6D}" type="pres">
      <dgm:prSet presAssocID="{8F34487A-4AA8-425D-AB0C-4F9F243962D4}" presName="hierRoot2" presStyleCnt="0">
        <dgm:presLayoutVars>
          <dgm:hierBranch/>
        </dgm:presLayoutVars>
      </dgm:prSet>
      <dgm:spPr/>
    </dgm:pt>
    <dgm:pt modelId="{98625025-2790-4299-B159-57ED794CBA75}" type="pres">
      <dgm:prSet presAssocID="{8F34487A-4AA8-425D-AB0C-4F9F243962D4}" presName="rootComposite" presStyleCnt="0"/>
      <dgm:spPr/>
    </dgm:pt>
    <dgm:pt modelId="{27C7F224-D857-4746-B2CA-6446D1C36411}" type="pres">
      <dgm:prSet presAssocID="{8F34487A-4AA8-425D-AB0C-4F9F243962D4}" presName="rootText" presStyleLbl="node2" presStyleIdx="0" presStyleCnt="5">
        <dgm:presLayoutVars>
          <dgm:chPref val="3"/>
        </dgm:presLayoutVars>
      </dgm:prSet>
      <dgm:spPr/>
      <dgm:t>
        <a:bodyPr/>
        <a:lstStyle/>
        <a:p>
          <a:endParaRPr lang="lt-LT"/>
        </a:p>
      </dgm:t>
    </dgm:pt>
    <dgm:pt modelId="{41BA5EAC-4817-4EDF-8A55-F3526C7F8A68}" type="pres">
      <dgm:prSet presAssocID="{8F34487A-4AA8-425D-AB0C-4F9F243962D4}" presName="rootConnector" presStyleLbl="node2" presStyleIdx="0" presStyleCnt="5"/>
      <dgm:spPr/>
      <dgm:t>
        <a:bodyPr/>
        <a:lstStyle/>
        <a:p>
          <a:endParaRPr lang="lt-LT"/>
        </a:p>
      </dgm:t>
    </dgm:pt>
    <dgm:pt modelId="{82A6485F-02AF-4016-B453-21A451FCB018}" type="pres">
      <dgm:prSet presAssocID="{8F34487A-4AA8-425D-AB0C-4F9F243962D4}" presName="hierChild4" presStyleCnt="0"/>
      <dgm:spPr/>
    </dgm:pt>
    <dgm:pt modelId="{048F59D4-7876-44EE-9CDA-6C255CADD6B2}" type="pres">
      <dgm:prSet presAssocID="{8F34487A-4AA8-425D-AB0C-4F9F243962D4}" presName="hierChild5" presStyleCnt="0"/>
      <dgm:spPr/>
    </dgm:pt>
    <dgm:pt modelId="{1F674AEB-FC5B-4398-987F-CA5422342AE8}" type="pres">
      <dgm:prSet presAssocID="{5B2FEDAD-3DFD-4FD9-ABED-B41F9B8A6BE0}" presName="Name35" presStyleLbl="parChTrans1D2" presStyleIdx="1" presStyleCnt="5"/>
      <dgm:spPr/>
      <dgm:t>
        <a:bodyPr/>
        <a:lstStyle/>
        <a:p>
          <a:endParaRPr lang="lt-LT"/>
        </a:p>
      </dgm:t>
    </dgm:pt>
    <dgm:pt modelId="{D73CED86-4B48-4135-8CBB-63EBD869E4D7}" type="pres">
      <dgm:prSet presAssocID="{EA97EEF1-684B-4350-B384-1EC6F5AEE7ED}" presName="hierRoot2" presStyleCnt="0">
        <dgm:presLayoutVars>
          <dgm:hierBranch/>
        </dgm:presLayoutVars>
      </dgm:prSet>
      <dgm:spPr/>
    </dgm:pt>
    <dgm:pt modelId="{3F4AF67C-E113-41A8-9031-20E8E2677E53}" type="pres">
      <dgm:prSet presAssocID="{EA97EEF1-684B-4350-B384-1EC6F5AEE7ED}" presName="rootComposite" presStyleCnt="0"/>
      <dgm:spPr/>
    </dgm:pt>
    <dgm:pt modelId="{17BAA924-F77A-4E65-8B94-5B565C916463}" type="pres">
      <dgm:prSet presAssocID="{EA97EEF1-684B-4350-B384-1EC6F5AEE7ED}" presName="rootText" presStyleLbl="node2" presStyleIdx="1" presStyleCnt="5">
        <dgm:presLayoutVars>
          <dgm:chPref val="3"/>
        </dgm:presLayoutVars>
      </dgm:prSet>
      <dgm:spPr/>
      <dgm:t>
        <a:bodyPr/>
        <a:lstStyle/>
        <a:p>
          <a:endParaRPr lang="lt-LT"/>
        </a:p>
      </dgm:t>
    </dgm:pt>
    <dgm:pt modelId="{C8D11AEF-CEA1-4CCA-8146-DAA7115EADD2}" type="pres">
      <dgm:prSet presAssocID="{EA97EEF1-684B-4350-B384-1EC6F5AEE7ED}" presName="rootConnector" presStyleLbl="node2" presStyleIdx="1" presStyleCnt="5"/>
      <dgm:spPr/>
      <dgm:t>
        <a:bodyPr/>
        <a:lstStyle/>
        <a:p>
          <a:endParaRPr lang="lt-LT"/>
        </a:p>
      </dgm:t>
    </dgm:pt>
    <dgm:pt modelId="{1D5BBA14-373F-49B3-83DA-BB0ABA7DE88C}" type="pres">
      <dgm:prSet presAssocID="{EA97EEF1-684B-4350-B384-1EC6F5AEE7ED}" presName="hierChild4" presStyleCnt="0"/>
      <dgm:spPr/>
    </dgm:pt>
    <dgm:pt modelId="{1AE4BA30-92C3-407C-AC0B-37AD470816AC}" type="pres">
      <dgm:prSet presAssocID="{EA97EEF1-684B-4350-B384-1EC6F5AEE7ED}" presName="hierChild5" presStyleCnt="0"/>
      <dgm:spPr/>
    </dgm:pt>
    <dgm:pt modelId="{47986F9C-810A-4112-BD4F-7CE5B98E0E8A}" type="pres">
      <dgm:prSet presAssocID="{FADE26B4-EDD3-4DA8-B223-2E44B030C754}" presName="Name35" presStyleLbl="parChTrans1D2" presStyleIdx="2" presStyleCnt="5"/>
      <dgm:spPr/>
      <dgm:t>
        <a:bodyPr/>
        <a:lstStyle/>
        <a:p>
          <a:endParaRPr lang="lt-LT"/>
        </a:p>
      </dgm:t>
    </dgm:pt>
    <dgm:pt modelId="{2B3FB935-5060-46EC-9087-906B76A578D5}" type="pres">
      <dgm:prSet presAssocID="{316A37B1-E38B-4540-A959-126BB05AA1C7}" presName="hierRoot2" presStyleCnt="0">
        <dgm:presLayoutVars>
          <dgm:hierBranch/>
        </dgm:presLayoutVars>
      </dgm:prSet>
      <dgm:spPr/>
    </dgm:pt>
    <dgm:pt modelId="{516176BB-C2E7-4B97-B62D-6358F3D1FCF7}" type="pres">
      <dgm:prSet presAssocID="{316A37B1-E38B-4540-A959-126BB05AA1C7}" presName="rootComposite" presStyleCnt="0"/>
      <dgm:spPr/>
    </dgm:pt>
    <dgm:pt modelId="{95EDB63A-E47B-4BDF-8911-8EC58C5B6661}" type="pres">
      <dgm:prSet presAssocID="{316A37B1-E38B-4540-A959-126BB05AA1C7}" presName="rootText" presStyleLbl="node2" presStyleIdx="2" presStyleCnt="5">
        <dgm:presLayoutVars>
          <dgm:chPref val="3"/>
        </dgm:presLayoutVars>
      </dgm:prSet>
      <dgm:spPr/>
      <dgm:t>
        <a:bodyPr/>
        <a:lstStyle/>
        <a:p>
          <a:endParaRPr lang="lt-LT"/>
        </a:p>
      </dgm:t>
    </dgm:pt>
    <dgm:pt modelId="{805E4091-8C58-46B6-9DD5-4A8DA28A12E8}" type="pres">
      <dgm:prSet presAssocID="{316A37B1-E38B-4540-A959-126BB05AA1C7}" presName="rootConnector" presStyleLbl="node2" presStyleIdx="2" presStyleCnt="5"/>
      <dgm:spPr/>
      <dgm:t>
        <a:bodyPr/>
        <a:lstStyle/>
        <a:p>
          <a:endParaRPr lang="lt-LT"/>
        </a:p>
      </dgm:t>
    </dgm:pt>
    <dgm:pt modelId="{20C930B9-184B-4B04-90E4-52227E209FE1}" type="pres">
      <dgm:prSet presAssocID="{316A37B1-E38B-4540-A959-126BB05AA1C7}" presName="hierChild4" presStyleCnt="0"/>
      <dgm:spPr/>
    </dgm:pt>
    <dgm:pt modelId="{770449C2-A5C7-4D3F-9F35-F47B67F8871D}" type="pres">
      <dgm:prSet presAssocID="{316A37B1-E38B-4540-A959-126BB05AA1C7}" presName="hierChild5" presStyleCnt="0"/>
      <dgm:spPr/>
    </dgm:pt>
    <dgm:pt modelId="{D598F0BB-D7C5-4427-9A0B-54703844A607}" type="pres">
      <dgm:prSet presAssocID="{1D9F3F32-CD62-4395-ABC0-597F9F64C72A}" presName="Name35" presStyleLbl="parChTrans1D2" presStyleIdx="3" presStyleCnt="5"/>
      <dgm:spPr/>
      <dgm:t>
        <a:bodyPr/>
        <a:lstStyle/>
        <a:p>
          <a:endParaRPr lang="lt-LT"/>
        </a:p>
      </dgm:t>
    </dgm:pt>
    <dgm:pt modelId="{0DE17F3B-A08C-4066-B9CD-CE9785EABD4D}" type="pres">
      <dgm:prSet presAssocID="{F02D3547-83E6-41D7-AEBB-B356B5FB8EC0}" presName="hierRoot2" presStyleCnt="0">
        <dgm:presLayoutVars>
          <dgm:hierBranch/>
        </dgm:presLayoutVars>
      </dgm:prSet>
      <dgm:spPr/>
    </dgm:pt>
    <dgm:pt modelId="{3B2BDC0E-36C4-4779-A8F8-575E53E984DF}" type="pres">
      <dgm:prSet presAssocID="{F02D3547-83E6-41D7-AEBB-B356B5FB8EC0}" presName="rootComposite" presStyleCnt="0"/>
      <dgm:spPr/>
    </dgm:pt>
    <dgm:pt modelId="{6D5CC5F4-4305-497D-8723-0C1B5615326F}" type="pres">
      <dgm:prSet presAssocID="{F02D3547-83E6-41D7-AEBB-B356B5FB8EC0}" presName="rootText" presStyleLbl="node2" presStyleIdx="3" presStyleCnt="5">
        <dgm:presLayoutVars>
          <dgm:chPref val="3"/>
        </dgm:presLayoutVars>
      </dgm:prSet>
      <dgm:spPr/>
      <dgm:t>
        <a:bodyPr/>
        <a:lstStyle/>
        <a:p>
          <a:endParaRPr lang="lt-LT"/>
        </a:p>
      </dgm:t>
    </dgm:pt>
    <dgm:pt modelId="{FDD91414-7AAB-4EF3-BBB6-E4DD4EA12860}" type="pres">
      <dgm:prSet presAssocID="{F02D3547-83E6-41D7-AEBB-B356B5FB8EC0}" presName="rootConnector" presStyleLbl="node2" presStyleIdx="3" presStyleCnt="5"/>
      <dgm:spPr/>
      <dgm:t>
        <a:bodyPr/>
        <a:lstStyle/>
        <a:p>
          <a:endParaRPr lang="lt-LT"/>
        </a:p>
      </dgm:t>
    </dgm:pt>
    <dgm:pt modelId="{13F3AB6C-D057-45BA-B19D-FBB09A26F00E}" type="pres">
      <dgm:prSet presAssocID="{F02D3547-83E6-41D7-AEBB-B356B5FB8EC0}" presName="hierChild4" presStyleCnt="0"/>
      <dgm:spPr/>
    </dgm:pt>
    <dgm:pt modelId="{7A7B9F28-C24F-495F-A3CF-EC1A9AC62F62}" type="pres">
      <dgm:prSet presAssocID="{F02D3547-83E6-41D7-AEBB-B356B5FB8EC0}" presName="hierChild5" presStyleCnt="0"/>
      <dgm:spPr/>
    </dgm:pt>
    <dgm:pt modelId="{B5E36BBD-ED24-4FD0-94B2-E2DFE28B13D5}" type="pres">
      <dgm:prSet presAssocID="{F02D1184-8324-4AAF-8F24-83B27403DA51}" presName="Name35" presStyleLbl="parChTrans1D2" presStyleIdx="4" presStyleCnt="5"/>
      <dgm:spPr/>
      <dgm:t>
        <a:bodyPr/>
        <a:lstStyle/>
        <a:p>
          <a:endParaRPr lang="lt-LT"/>
        </a:p>
      </dgm:t>
    </dgm:pt>
    <dgm:pt modelId="{78D1A152-F9AB-4FB2-80A1-BA7D2978BF74}" type="pres">
      <dgm:prSet presAssocID="{8ECC3A75-A42C-412E-A829-7E30A332B03D}" presName="hierRoot2" presStyleCnt="0">
        <dgm:presLayoutVars>
          <dgm:hierBranch/>
        </dgm:presLayoutVars>
      </dgm:prSet>
      <dgm:spPr/>
    </dgm:pt>
    <dgm:pt modelId="{A60CBE36-D734-44F2-9968-6D82B9E8F71C}" type="pres">
      <dgm:prSet presAssocID="{8ECC3A75-A42C-412E-A829-7E30A332B03D}" presName="rootComposite" presStyleCnt="0"/>
      <dgm:spPr/>
    </dgm:pt>
    <dgm:pt modelId="{219133F4-5706-4123-8A30-1662458C6B77}" type="pres">
      <dgm:prSet presAssocID="{8ECC3A75-A42C-412E-A829-7E30A332B03D}" presName="rootText" presStyleLbl="node2" presStyleIdx="4" presStyleCnt="5">
        <dgm:presLayoutVars>
          <dgm:chPref val="3"/>
        </dgm:presLayoutVars>
      </dgm:prSet>
      <dgm:spPr/>
      <dgm:t>
        <a:bodyPr/>
        <a:lstStyle/>
        <a:p>
          <a:endParaRPr lang="lt-LT"/>
        </a:p>
      </dgm:t>
    </dgm:pt>
    <dgm:pt modelId="{8F32578A-2FF8-4191-BCF3-AF764EC4D3AF}" type="pres">
      <dgm:prSet presAssocID="{8ECC3A75-A42C-412E-A829-7E30A332B03D}" presName="rootConnector" presStyleLbl="node2" presStyleIdx="4" presStyleCnt="5"/>
      <dgm:spPr/>
      <dgm:t>
        <a:bodyPr/>
        <a:lstStyle/>
        <a:p>
          <a:endParaRPr lang="lt-LT"/>
        </a:p>
      </dgm:t>
    </dgm:pt>
    <dgm:pt modelId="{D6DB25BD-35FB-431E-88B3-99D97138EDB2}" type="pres">
      <dgm:prSet presAssocID="{8ECC3A75-A42C-412E-A829-7E30A332B03D}" presName="hierChild4" presStyleCnt="0"/>
      <dgm:spPr/>
    </dgm:pt>
    <dgm:pt modelId="{B6B1A630-220D-4EAF-8A7E-5D7386CA1F8E}" type="pres">
      <dgm:prSet presAssocID="{8ECC3A75-A42C-412E-A829-7E30A332B03D}" presName="hierChild5" presStyleCnt="0"/>
      <dgm:spPr/>
    </dgm:pt>
    <dgm:pt modelId="{423388D7-FBE9-44D1-B0B3-24F88E6B9BDD}" type="pres">
      <dgm:prSet presAssocID="{96D4111E-A795-4515-A8D7-2EA412232981}" presName="hierChild3" presStyleCnt="0"/>
      <dgm:spPr/>
    </dgm:pt>
  </dgm:ptLst>
  <dgm:cxnLst>
    <dgm:cxn modelId="{917D9182-1825-43FD-9B52-8A2F357F5ED6}" srcId="{96D4111E-A795-4515-A8D7-2EA412232981}" destId="{EA97EEF1-684B-4350-B384-1EC6F5AEE7ED}" srcOrd="1" destOrd="0" parTransId="{5B2FEDAD-3DFD-4FD9-ABED-B41F9B8A6BE0}" sibTransId="{AC07A070-3F22-4596-B840-D84C09F572F2}"/>
    <dgm:cxn modelId="{427945FE-E037-4259-AEE0-22DE90510660}" type="presOf" srcId="{96D4111E-A795-4515-A8D7-2EA412232981}" destId="{CBDA750C-589C-4865-8F9E-0D990F73AB16}" srcOrd="1" destOrd="0" presId="urn:microsoft.com/office/officeart/2005/8/layout/orgChart1"/>
    <dgm:cxn modelId="{63A80096-16A8-49A4-9D07-7F369089CFE0}" type="presOf" srcId="{1D9F3F32-CD62-4395-ABC0-597F9F64C72A}" destId="{D598F0BB-D7C5-4427-9A0B-54703844A607}" srcOrd="0" destOrd="0" presId="urn:microsoft.com/office/officeart/2005/8/layout/orgChart1"/>
    <dgm:cxn modelId="{D6C7B9F8-74C5-49B1-A46E-BCD46914E6AA}" srcId="{96D4111E-A795-4515-A8D7-2EA412232981}" destId="{316A37B1-E38B-4540-A959-126BB05AA1C7}" srcOrd="2" destOrd="0" parTransId="{FADE26B4-EDD3-4DA8-B223-2E44B030C754}" sibTransId="{FF7EF8FE-B199-4B2D-BB72-C327527CF3EC}"/>
    <dgm:cxn modelId="{0F894735-C574-4216-BB34-F98CAA633E16}" type="presOf" srcId="{8ECC3A75-A42C-412E-A829-7E30A332B03D}" destId="{8F32578A-2FF8-4191-BCF3-AF764EC4D3AF}" srcOrd="1" destOrd="0" presId="urn:microsoft.com/office/officeart/2005/8/layout/orgChart1"/>
    <dgm:cxn modelId="{D75B0077-8FB6-4122-8BEC-4E81A210EBB6}" type="presOf" srcId="{8ECC3A75-A42C-412E-A829-7E30A332B03D}" destId="{219133F4-5706-4123-8A30-1662458C6B77}" srcOrd="0" destOrd="0" presId="urn:microsoft.com/office/officeart/2005/8/layout/orgChart1"/>
    <dgm:cxn modelId="{D364502C-1F71-4558-AD23-61B0F738527B}" type="presOf" srcId="{FADE26B4-EDD3-4DA8-B223-2E44B030C754}" destId="{47986F9C-810A-4112-BD4F-7CE5B98E0E8A}" srcOrd="0" destOrd="0" presId="urn:microsoft.com/office/officeart/2005/8/layout/orgChart1"/>
    <dgm:cxn modelId="{70E0401B-44C7-418A-A574-B3C880E7970E}" type="presOf" srcId="{8F34487A-4AA8-425D-AB0C-4F9F243962D4}" destId="{41BA5EAC-4817-4EDF-8A55-F3526C7F8A68}" srcOrd="1" destOrd="0" presId="urn:microsoft.com/office/officeart/2005/8/layout/orgChart1"/>
    <dgm:cxn modelId="{A3095CA8-4600-4378-B57D-D0F6E80E5412}" type="presOf" srcId="{EA97EEF1-684B-4350-B384-1EC6F5AEE7ED}" destId="{C8D11AEF-CEA1-4CCA-8146-DAA7115EADD2}" srcOrd="1" destOrd="0" presId="urn:microsoft.com/office/officeart/2005/8/layout/orgChart1"/>
    <dgm:cxn modelId="{E9704030-D2C2-48A2-A3A0-6771066CEFA5}" type="presOf" srcId="{2B65D6C0-2EA2-4477-A85A-5D931F9F52BB}" destId="{89378243-76FA-426C-9CC7-E8FAF98B1F20}" srcOrd="0" destOrd="0" presId="urn:microsoft.com/office/officeart/2005/8/layout/orgChart1"/>
    <dgm:cxn modelId="{61857540-904C-4689-9C99-F5C6EC9C4C6B}" srcId="{96D4111E-A795-4515-A8D7-2EA412232981}" destId="{F02D3547-83E6-41D7-AEBB-B356B5FB8EC0}" srcOrd="3" destOrd="0" parTransId="{1D9F3F32-CD62-4395-ABC0-597F9F64C72A}" sibTransId="{3B243754-7268-435F-B779-3FDA62868999}"/>
    <dgm:cxn modelId="{E0AD5EA4-C9B4-4F57-A256-F62305F012CB}" type="presOf" srcId="{5B2FEDAD-3DFD-4FD9-ABED-B41F9B8A6BE0}" destId="{1F674AEB-FC5B-4398-987F-CA5422342AE8}" srcOrd="0" destOrd="0" presId="urn:microsoft.com/office/officeart/2005/8/layout/orgChart1"/>
    <dgm:cxn modelId="{3648FDB1-2A53-49BC-BF75-2C528A57D54B}" type="presOf" srcId="{F02D3547-83E6-41D7-AEBB-B356B5FB8EC0}" destId="{FDD91414-7AAB-4EF3-BBB6-E4DD4EA12860}" srcOrd="1" destOrd="0" presId="urn:microsoft.com/office/officeart/2005/8/layout/orgChart1"/>
    <dgm:cxn modelId="{8322E115-2BD4-45A7-8191-04ECE0373D64}" srcId="{96D4111E-A795-4515-A8D7-2EA412232981}" destId="{8F34487A-4AA8-425D-AB0C-4F9F243962D4}" srcOrd="0" destOrd="0" parTransId="{3B3280EF-C57C-43ED-9AAB-0715430D4984}" sibTransId="{E49A1DC4-3611-4837-988E-664AAFA3F664}"/>
    <dgm:cxn modelId="{CF1D6B53-1005-41C2-9CC1-04D0C81F8D69}" type="presOf" srcId="{F02D3547-83E6-41D7-AEBB-B356B5FB8EC0}" destId="{6D5CC5F4-4305-497D-8723-0C1B5615326F}" srcOrd="0" destOrd="0" presId="urn:microsoft.com/office/officeart/2005/8/layout/orgChart1"/>
    <dgm:cxn modelId="{52665093-2126-46C3-90EB-9C128E95C97D}" type="presOf" srcId="{316A37B1-E38B-4540-A959-126BB05AA1C7}" destId="{95EDB63A-E47B-4BDF-8911-8EC58C5B6661}" srcOrd="0" destOrd="0" presId="urn:microsoft.com/office/officeart/2005/8/layout/orgChart1"/>
    <dgm:cxn modelId="{D2E2584F-4DA7-4F9C-BC10-87BF954474C0}" type="presOf" srcId="{3B3280EF-C57C-43ED-9AAB-0715430D4984}" destId="{F38A3FDC-106B-41AC-B8BE-82A80AC14AC3}" srcOrd="0" destOrd="0" presId="urn:microsoft.com/office/officeart/2005/8/layout/orgChart1"/>
    <dgm:cxn modelId="{47B0BA67-9F6A-447D-A24E-679754AC7087}" type="presOf" srcId="{F02D1184-8324-4AAF-8F24-83B27403DA51}" destId="{B5E36BBD-ED24-4FD0-94B2-E2DFE28B13D5}" srcOrd="0" destOrd="0" presId="urn:microsoft.com/office/officeart/2005/8/layout/orgChart1"/>
    <dgm:cxn modelId="{2E7D99E3-A9DC-40B7-B838-F228C3DA1D46}" type="presOf" srcId="{316A37B1-E38B-4540-A959-126BB05AA1C7}" destId="{805E4091-8C58-46B6-9DD5-4A8DA28A12E8}" srcOrd="1" destOrd="0" presId="urn:microsoft.com/office/officeart/2005/8/layout/orgChart1"/>
    <dgm:cxn modelId="{C1F2168F-1464-4829-93EF-CFDE2FD7A9AE}" srcId="{2B65D6C0-2EA2-4477-A85A-5D931F9F52BB}" destId="{96D4111E-A795-4515-A8D7-2EA412232981}" srcOrd="0" destOrd="0" parTransId="{380225A9-229D-4772-9B5A-B537A7A3FB04}" sibTransId="{B9372A11-C1D9-4C3D-9E99-C171AA0D1390}"/>
    <dgm:cxn modelId="{A4CF9DAC-C4D8-41C2-BA15-0E84D4BAE696}" type="presOf" srcId="{96D4111E-A795-4515-A8D7-2EA412232981}" destId="{F6177A66-5411-4240-A6DC-702D13BA3A60}" srcOrd="0" destOrd="0" presId="urn:microsoft.com/office/officeart/2005/8/layout/orgChart1"/>
    <dgm:cxn modelId="{4F647E2B-9723-4D52-8D5F-964F6DE18D6A}" type="presOf" srcId="{8F34487A-4AA8-425D-AB0C-4F9F243962D4}" destId="{27C7F224-D857-4746-B2CA-6446D1C36411}" srcOrd="0" destOrd="0" presId="urn:microsoft.com/office/officeart/2005/8/layout/orgChart1"/>
    <dgm:cxn modelId="{BA29E5BD-8782-4A90-A41E-9C0FE3C0892E}" srcId="{96D4111E-A795-4515-A8D7-2EA412232981}" destId="{8ECC3A75-A42C-412E-A829-7E30A332B03D}" srcOrd="4" destOrd="0" parTransId="{F02D1184-8324-4AAF-8F24-83B27403DA51}" sibTransId="{1807F180-65B6-4818-A4FA-77CF4FD591DA}"/>
    <dgm:cxn modelId="{8C9A6044-0C2D-4F52-85FC-58912E4432B6}" type="presOf" srcId="{EA97EEF1-684B-4350-B384-1EC6F5AEE7ED}" destId="{17BAA924-F77A-4E65-8B94-5B565C916463}" srcOrd="0" destOrd="0" presId="urn:microsoft.com/office/officeart/2005/8/layout/orgChart1"/>
    <dgm:cxn modelId="{9F1C374B-4168-4715-9622-46A14B4964E8}" type="presParOf" srcId="{89378243-76FA-426C-9CC7-E8FAF98B1F20}" destId="{0466DA06-DA77-45DC-9A1B-D2201E807600}" srcOrd="0" destOrd="0" presId="urn:microsoft.com/office/officeart/2005/8/layout/orgChart1"/>
    <dgm:cxn modelId="{CD67A839-90E0-4997-9FD6-D40AC50E0B01}" type="presParOf" srcId="{0466DA06-DA77-45DC-9A1B-D2201E807600}" destId="{04DAC24A-A02F-4410-ACEE-93EB8A025318}" srcOrd="0" destOrd="0" presId="urn:microsoft.com/office/officeart/2005/8/layout/orgChart1"/>
    <dgm:cxn modelId="{769FCE4B-CA8E-471C-A351-BEDE5F19DD27}" type="presParOf" srcId="{04DAC24A-A02F-4410-ACEE-93EB8A025318}" destId="{F6177A66-5411-4240-A6DC-702D13BA3A60}" srcOrd="0" destOrd="0" presId="urn:microsoft.com/office/officeart/2005/8/layout/orgChart1"/>
    <dgm:cxn modelId="{ED795E48-8947-402C-8918-169A7717D755}" type="presParOf" srcId="{04DAC24A-A02F-4410-ACEE-93EB8A025318}" destId="{CBDA750C-589C-4865-8F9E-0D990F73AB16}" srcOrd="1" destOrd="0" presId="urn:microsoft.com/office/officeart/2005/8/layout/orgChart1"/>
    <dgm:cxn modelId="{4229C6ED-1EF6-49C6-9A39-47AA8ABCBB30}" type="presParOf" srcId="{0466DA06-DA77-45DC-9A1B-D2201E807600}" destId="{4F23AA5A-1924-4BFD-8BAD-09C3205CF101}" srcOrd="1" destOrd="0" presId="urn:microsoft.com/office/officeart/2005/8/layout/orgChart1"/>
    <dgm:cxn modelId="{AE1A8497-BA72-4249-9BAA-50D3CC714771}" type="presParOf" srcId="{4F23AA5A-1924-4BFD-8BAD-09C3205CF101}" destId="{F38A3FDC-106B-41AC-B8BE-82A80AC14AC3}" srcOrd="0" destOrd="0" presId="urn:microsoft.com/office/officeart/2005/8/layout/orgChart1"/>
    <dgm:cxn modelId="{28D6CB4C-1455-47AF-BF4C-D8B5588CEC19}" type="presParOf" srcId="{4F23AA5A-1924-4BFD-8BAD-09C3205CF101}" destId="{7C1AA565-4F5D-4975-8FD1-F2D0A572EB6D}" srcOrd="1" destOrd="0" presId="urn:microsoft.com/office/officeart/2005/8/layout/orgChart1"/>
    <dgm:cxn modelId="{A42702B8-970A-4620-836D-1E54C74F0159}" type="presParOf" srcId="{7C1AA565-4F5D-4975-8FD1-F2D0A572EB6D}" destId="{98625025-2790-4299-B159-57ED794CBA75}" srcOrd="0" destOrd="0" presId="urn:microsoft.com/office/officeart/2005/8/layout/orgChart1"/>
    <dgm:cxn modelId="{F41C6498-9654-4D21-97B5-5068C3544317}" type="presParOf" srcId="{98625025-2790-4299-B159-57ED794CBA75}" destId="{27C7F224-D857-4746-B2CA-6446D1C36411}" srcOrd="0" destOrd="0" presId="urn:microsoft.com/office/officeart/2005/8/layout/orgChart1"/>
    <dgm:cxn modelId="{E451CE77-9804-44AC-A9BC-F02039677DBE}" type="presParOf" srcId="{98625025-2790-4299-B159-57ED794CBA75}" destId="{41BA5EAC-4817-4EDF-8A55-F3526C7F8A68}" srcOrd="1" destOrd="0" presId="urn:microsoft.com/office/officeart/2005/8/layout/orgChart1"/>
    <dgm:cxn modelId="{23E9E739-D178-4E17-9F4E-7CFE236D7FAF}" type="presParOf" srcId="{7C1AA565-4F5D-4975-8FD1-F2D0A572EB6D}" destId="{82A6485F-02AF-4016-B453-21A451FCB018}" srcOrd="1" destOrd="0" presId="urn:microsoft.com/office/officeart/2005/8/layout/orgChart1"/>
    <dgm:cxn modelId="{CB621854-1701-4664-BA12-4D476EC3FFD0}" type="presParOf" srcId="{7C1AA565-4F5D-4975-8FD1-F2D0A572EB6D}" destId="{048F59D4-7876-44EE-9CDA-6C255CADD6B2}" srcOrd="2" destOrd="0" presId="urn:microsoft.com/office/officeart/2005/8/layout/orgChart1"/>
    <dgm:cxn modelId="{4575F4BE-0C3D-4BF0-AEEF-B41FFB89D561}" type="presParOf" srcId="{4F23AA5A-1924-4BFD-8BAD-09C3205CF101}" destId="{1F674AEB-FC5B-4398-987F-CA5422342AE8}" srcOrd="2" destOrd="0" presId="urn:microsoft.com/office/officeart/2005/8/layout/orgChart1"/>
    <dgm:cxn modelId="{3070AEE8-EA6C-46D9-BAED-F273B3751383}" type="presParOf" srcId="{4F23AA5A-1924-4BFD-8BAD-09C3205CF101}" destId="{D73CED86-4B48-4135-8CBB-63EBD869E4D7}" srcOrd="3" destOrd="0" presId="urn:microsoft.com/office/officeart/2005/8/layout/orgChart1"/>
    <dgm:cxn modelId="{DE831EC0-8192-49E4-9AC4-1F15C2C0787E}" type="presParOf" srcId="{D73CED86-4B48-4135-8CBB-63EBD869E4D7}" destId="{3F4AF67C-E113-41A8-9031-20E8E2677E53}" srcOrd="0" destOrd="0" presId="urn:microsoft.com/office/officeart/2005/8/layout/orgChart1"/>
    <dgm:cxn modelId="{B81A7BD3-14AD-4A24-8B82-CDC10FD86DBE}" type="presParOf" srcId="{3F4AF67C-E113-41A8-9031-20E8E2677E53}" destId="{17BAA924-F77A-4E65-8B94-5B565C916463}" srcOrd="0" destOrd="0" presId="urn:microsoft.com/office/officeart/2005/8/layout/orgChart1"/>
    <dgm:cxn modelId="{B95E87D9-345D-4648-8289-B4D4A007CFBD}" type="presParOf" srcId="{3F4AF67C-E113-41A8-9031-20E8E2677E53}" destId="{C8D11AEF-CEA1-4CCA-8146-DAA7115EADD2}" srcOrd="1" destOrd="0" presId="urn:microsoft.com/office/officeart/2005/8/layout/orgChart1"/>
    <dgm:cxn modelId="{B3F17440-AB65-42D0-ADD5-BF11ABF7517F}" type="presParOf" srcId="{D73CED86-4B48-4135-8CBB-63EBD869E4D7}" destId="{1D5BBA14-373F-49B3-83DA-BB0ABA7DE88C}" srcOrd="1" destOrd="0" presId="urn:microsoft.com/office/officeart/2005/8/layout/orgChart1"/>
    <dgm:cxn modelId="{73473F23-C2B1-42F8-818E-1F669604BD4B}" type="presParOf" srcId="{D73CED86-4B48-4135-8CBB-63EBD869E4D7}" destId="{1AE4BA30-92C3-407C-AC0B-37AD470816AC}" srcOrd="2" destOrd="0" presId="urn:microsoft.com/office/officeart/2005/8/layout/orgChart1"/>
    <dgm:cxn modelId="{77845160-D573-40A8-A3C0-3F9BDF398EC0}" type="presParOf" srcId="{4F23AA5A-1924-4BFD-8BAD-09C3205CF101}" destId="{47986F9C-810A-4112-BD4F-7CE5B98E0E8A}" srcOrd="4" destOrd="0" presId="urn:microsoft.com/office/officeart/2005/8/layout/orgChart1"/>
    <dgm:cxn modelId="{A323EB16-3390-4D40-9973-DAC01D91E023}" type="presParOf" srcId="{4F23AA5A-1924-4BFD-8BAD-09C3205CF101}" destId="{2B3FB935-5060-46EC-9087-906B76A578D5}" srcOrd="5" destOrd="0" presId="urn:microsoft.com/office/officeart/2005/8/layout/orgChart1"/>
    <dgm:cxn modelId="{0CA8117A-620C-4907-9DB1-B87228793C13}" type="presParOf" srcId="{2B3FB935-5060-46EC-9087-906B76A578D5}" destId="{516176BB-C2E7-4B97-B62D-6358F3D1FCF7}" srcOrd="0" destOrd="0" presId="urn:microsoft.com/office/officeart/2005/8/layout/orgChart1"/>
    <dgm:cxn modelId="{4991ED5C-BBE9-49F7-B8E0-9D447877B26F}" type="presParOf" srcId="{516176BB-C2E7-4B97-B62D-6358F3D1FCF7}" destId="{95EDB63A-E47B-4BDF-8911-8EC58C5B6661}" srcOrd="0" destOrd="0" presId="urn:microsoft.com/office/officeart/2005/8/layout/orgChart1"/>
    <dgm:cxn modelId="{248C1E32-A6C3-4105-AAF7-3E4DD6D4FEB7}" type="presParOf" srcId="{516176BB-C2E7-4B97-B62D-6358F3D1FCF7}" destId="{805E4091-8C58-46B6-9DD5-4A8DA28A12E8}" srcOrd="1" destOrd="0" presId="urn:microsoft.com/office/officeart/2005/8/layout/orgChart1"/>
    <dgm:cxn modelId="{C1409A0A-B333-4977-BD29-2F36A5D8E4ED}" type="presParOf" srcId="{2B3FB935-5060-46EC-9087-906B76A578D5}" destId="{20C930B9-184B-4B04-90E4-52227E209FE1}" srcOrd="1" destOrd="0" presId="urn:microsoft.com/office/officeart/2005/8/layout/orgChart1"/>
    <dgm:cxn modelId="{BEEFCB72-1992-4972-B334-5DE35EDA5D1E}" type="presParOf" srcId="{2B3FB935-5060-46EC-9087-906B76A578D5}" destId="{770449C2-A5C7-4D3F-9F35-F47B67F8871D}" srcOrd="2" destOrd="0" presId="urn:microsoft.com/office/officeart/2005/8/layout/orgChart1"/>
    <dgm:cxn modelId="{0907D2B1-8050-4A53-8D4A-672FEE1A5CDF}" type="presParOf" srcId="{4F23AA5A-1924-4BFD-8BAD-09C3205CF101}" destId="{D598F0BB-D7C5-4427-9A0B-54703844A607}" srcOrd="6" destOrd="0" presId="urn:microsoft.com/office/officeart/2005/8/layout/orgChart1"/>
    <dgm:cxn modelId="{F4DE993F-8D96-4161-8885-090F56C0D3D2}" type="presParOf" srcId="{4F23AA5A-1924-4BFD-8BAD-09C3205CF101}" destId="{0DE17F3B-A08C-4066-B9CD-CE9785EABD4D}" srcOrd="7" destOrd="0" presId="urn:microsoft.com/office/officeart/2005/8/layout/orgChart1"/>
    <dgm:cxn modelId="{A551D674-726A-4BCB-B09D-81FC34D30C29}" type="presParOf" srcId="{0DE17F3B-A08C-4066-B9CD-CE9785EABD4D}" destId="{3B2BDC0E-36C4-4779-A8F8-575E53E984DF}" srcOrd="0" destOrd="0" presId="urn:microsoft.com/office/officeart/2005/8/layout/orgChart1"/>
    <dgm:cxn modelId="{ED29E916-1A85-4780-B769-DC7A2F11D4B2}" type="presParOf" srcId="{3B2BDC0E-36C4-4779-A8F8-575E53E984DF}" destId="{6D5CC5F4-4305-497D-8723-0C1B5615326F}" srcOrd="0" destOrd="0" presId="urn:microsoft.com/office/officeart/2005/8/layout/orgChart1"/>
    <dgm:cxn modelId="{0BD1C451-5AC7-451A-BECF-6D7016B995DD}" type="presParOf" srcId="{3B2BDC0E-36C4-4779-A8F8-575E53E984DF}" destId="{FDD91414-7AAB-4EF3-BBB6-E4DD4EA12860}" srcOrd="1" destOrd="0" presId="urn:microsoft.com/office/officeart/2005/8/layout/orgChart1"/>
    <dgm:cxn modelId="{A9A36297-748E-460A-A030-23277F4E45DA}" type="presParOf" srcId="{0DE17F3B-A08C-4066-B9CD-CE9785EABD4D}" destId="{13F3AB6C-D057-45BA-B19D-FBB09A26F00E}" srcOrd="1" destOrd="0" presId="urn:microsoft.com/office/officeart/2005/8/layout/orgChart1"/>
    <dgm:cxn modelId="{CFA552EA-E458-48C2-9582-AFD6BAD9F61E}" type="presParOf" srcId="{0DE17F3B-A08C-4066-B9CD-CE9785EABD4D}" destId="{7A7B9F28-C24F-495F-A3CF-EC1A9AC62F62}" srcOrd="2" destOrd="0" presId="urn:microsoft.com/office/officeart/2005/8/layout/orgChart1"/>
    <dgm:cxn modelId="{F346C907-7EE3-481F-8347-D18103F8E6EC}" type="presParOf" srcId="{4F23AA5A-1924-4BFD-8BAD-09C3205CF101}" destId="{B5E36BBD-ED24-4FD0-94B2-E2DFE28B13D5}" srcOrd="8" destOrd="0" presId="urn:microsoft.com/office/officeart/2005/8/layout/orgChart1"/>
    <dgm:cxn modelId="{69C363B5-AD3D-4C17-B1F7-BBF57598C391}" type="presParOf" srcId="{4F23AA5A-1924-4BFD-8BAD-09C3205CF101}" destId="{78D1A152-F9AB-4FB2-80A1-BA7D2978BF74}" srcOrd="9" destOrd="0" presId="urn:microsoft.com/office/officeart/2005/8/layout/orgChart1"/>
    <dgm:cxn modelId="{899EE8D1-059F-472A-BC11-6D55DD215F1F}" type="presParOf" srcId="{78D1A152-F9AB-4FB2-80A1-BA7D2978BF74}" destId="{A60CBE36-D734-44F2-9968-6D82B9E8F71C}" srcOrd="0" destOrd="0" presId="urn:microsoft.com/office/officeart/2005/8/layout/orgChart1"/>
    <dgm:cxn modelId="{469CF0E9-B8AC-4692-8F05-F4386B1BCCF1}" type="presParOf" srcId="{A60CBE36-D734-44F2-9968-6D82B9E8F71C}" destId="{219133F4-5706-4123-8A30-1662458C6B77}" srcOrd="0" destOrd="0" presId="urn:microsoft.com/office/officeart/2005/8/layout/orgChart1"/>
    <dgm:cxn modelId="{5AACFAF1-F9FE-41C1-AC7D-97C6EB728BFA}" type="presParOf" srcId="{A60CBE36-D734-44F2-9968-6D82B9E8F71C}" destId="{8F32578A-2FF8-4191-BCF3-AF764EC4D3AF}" srcOrd="1" destOrd="0" presId="urn:microsoft.com/office/officeart/2005/8/layout/orgChart1"/>
    <dgm:cxn modelId="{647EB84E-2059-4415-AD5E-E3AD2A7143C2}" type="presParOf" srcId="{78D1A152-F9AB-4FB2-80A1-BA7D2978BF74}" destId="{D6DB25BD-35FB-431E-88B3-99D97138EDB2}" srcOrd="1" destOrd="0" presId="urn:microsoft.com/office/officeart/2005/8/layout/orgChart1"/>
    <dgm:cxn modelId="{E0C48017-93C3-4224-9171-837655B91745}" type="presParOf" srcId="{78D1A152-F9AB-4FB2-80A1-BA7D2978BF74}" destId="{B6B1A630-220D-4EAF-8A7E-5D7386CA1F8E}" srcOrd="2" destOrd="0" presId="urn:microsoft.com/office/officeart/2005/8/layout/orgChart1"/>
    <dgm:cxn modelId="{03AA0BC0-7C75-4B21-9782-DAFB1A52AB18}" type="presParOf" srcId="{0466DA06-DA77-45DC-9A1B-D2201E807600}" destId="{423388D7-FBE9-44D1-B0B3-24F88E6B9BDD}" srcOrd="2" destOrd="0" presId="urn:microsoft.com/office/officeart/2005/8/layout/orgChart1"/>
  </dgm:cxnLst>
  <dgm:bg/>
  <dgm:whole/>
</dgm:dataModel>
</file>

<file path=word/diagrams/data2.xml><?xml version="1.0" encoding="utf-8"?>
<dgm:dataModel xmlns:dgm="http://schemas.openxmlformats.org/drawingml/2006/diagram" xmlns:a="http://schemas.openxmlformats.org/drawingml/2006/main">
  <dgm:ptLst>
    <dgm:pt modelId="{7CDE2C33-BE67-4F85-952F-73C3C63B91FB}" type="doc">
      <dgm:prSet loTypeId="urn:microsoft.com/office/officeart/2005/8/layout/hierarchy4" loCatId="relationship" qsTypeId="urn:microsoft.com/office/officeart/2005/8/quickstyle/simple1" qsCatId="simple" csTypeId="urn:microsoft.com/office/officeart/2005/8/colors/accent1_2" csCatId="accent1" phldr="1"/>
      <dgm:spPr/>
    </dgm:pt>
    <dgm:pt modelId="{50EDAC64-E5EE-4324-B5FD-4ABE506A7FFB}">
      <dgm:prSet custT="1"/>
      <dgm:spPr/>
      <dgm:t>
        <a:bodyPr/>
        <a:lstStyle/>
        <a:p>
          <a:pPr marR="0" algn="ctr" rtl="0"/>
          <a:r>
            <a:rPr lang="lt-LT" sz="1400" baseline="0" smtClean="0">
              <a:latin typeface="Calibri"/>
            </a:rPr>
            <a:t>Komandos dalyviai</a:t>
          </a:r>
          <a:endParaRPr lang="lt-LT" sz="1400" smtClean="0"/>
        </a:p>
      </dgm:t>
    </dgm:pt>
    <dgm:pt modelId="{E7A9ED51-5809-489F-B6B9-A0462F3B11BB}" type="parTrans" cxnId="{8800DE95-89E1-46E6-A215-69CFA4C22D09}">
      <dgm:prSet/>
      <dgm:spPr/>
      <dgm:t>
        <a:bodyPr/>
        <a:lstStyle/>
        <a:p>
          <a:pPr algn="ctr"/>
          <a:endParaRPr lang="lt-LT"/>
        </a:p>
      </dgm:t>
    </dgm:pt>
    <dgm:pt modelId="{FD36A601-9D51-47D0-B8B9-BFCAD877D56F}" type="sibTrans" cxnId="{8800DE95-89E1-46E6-A215-69CFA4C22D09}">
      <dgm:prSet/>
      <dgm:spPr/>
      <dgm:t>
        <a:bodyPr/>
        <a:lstStyle/>
        <a:p>
          <a:pPr algn="ctr"/>
          <a:endParaRPr lang="lt-LT"/>
        </a:p>
      </dgm:t>
    </dgm:pt>
    <dgm:pt modelId="{73B3D82A-CAD4-412E-85FA-8BB274851059}">
      <dgm:prSet/>
      <dgm:spPr/>
      <dgm:t>
        <a:bodyPr/>
        <a:lstStyle/>
        <a:p>
          <a:pPr marR="0" algn="ctr" rtl="0"/>
          <a:r>
            <a:rPr lang="lt-LT" baseline="0" smtClean="0">
              <a:latin typeface="Calibri"/>
            </a:rPr>
            <a:t>Policijos darbuotojai</a:t>
          </a:r>
          <a:endParaRPr lang="lt-LT" smtClean="0"/>
        </a:p>
      </dgm:t>
    </dgm:pt>
    <dgm:pt modelId="{11714356-CE51-48EE-B7BE-F73693212355}" type="parTrans" cxnId="{D5D88176-2A6F-456D-A9EF-26E207679C63}">
      <dgm:prSet/>
      <dgm:spPr/>
      <dgm:t>
        <a:bodyPr/>
        <a:lstStyle/>
        <a:p>
          <a:pPr algn="ctr"/>
          <a:endParaRPr lang="lt-LT"/>
        </a:p>
      </dgm:t>
    </dgm:pt>
    <dgm:pt modelId="{7803A29D-1A69-4980-9296-E119157E05A8}" type="sibTrans" cxnId="{D5D88176-2A6F-456D-A9EF-26E207679C63}">
      <dgm:prSet/>
      <dgm:spPr/>
      <dgm:t>
        <a:bodyPr/>
        <a:lstStyle/>
        <a:p>
          <a:pPr algn="ctr"/>
          <a:endParaRPr lang="lt-LT"/>
        </a:p>
      </dgm:t>
    </dgm:pt>
    <dgm:pt modelId="{FA21C345-B1AA-49AE-97CA-051E9DD5BEB4}">
      <dgm:prSet/>
      <dgm:spPr/>
      <dgm:t>
        <a:bodyPr/>
        <a:lstStyle/>
        <a:p>
          <a:pPr marR="0" algn="ctr" rtl="0"/>
          <a:r>
            <a:rPr lang="lt-LT" baseline="0" smtClean="0">
              <a:latin typeface="Calibri"/>
            </a:rPr>
            <a:t>Tėvai, globėjai (rūpintojai)</a:t>
          </a:r>
          <a:endParaRPr lang="lt-LT" smtClean="0"/>
        </a:p>
      </dgm:t>
    </dgm:pt>
    <dgm:pt modelId="{3539DDE4-64A8-4951-9857-F57DD907DB5C}" type="parTrans" cxnId="{76D9F5DC-BB3D-4ED6-9246-E39BAE3CCFBE}">
      <dgm:prSet/>
      <dgm:spPr/>
      <dgm:t>
        <a:bodyPr/>
        <a:lstStyle/>
        <a:p>
          <a:pPr algn="ctr"/>
          <a:endParaRPr lang="lt-LT"/>
        </a:p>
      </dgm:t>
    </dgm:pt>
    <dgm:pt modelId="{07854EB1-1888-4789-B1E2-F5A98006F9CB}" type="sibTrans" cxnId="{76D9F5DC-BB3D-4ED6-9246-E39BAE3CCFBE}">
      <dgm:prSet/>
      <dgm:spPr/>
      <dgm:t>
        <a:bodyPr/>
        <a:lstStyle/>
        <a:p>
          <a:pPr algn="ctr"/>
          <a:endParaRPr lang="lt-LT"/>
        </a:p>
      </dgm:t>
    </dgm:pt>
    <dgm:pt modelId="{DF64C5E5-8F1B-4479-A819-DD0701027329}">
      <dgm:prSet/>
      <dgm:spPr/>
      <dgm:t>
        <a:bodyPr/>
        <a:lstStyle/>
        <a:p>
          <a:pPr marR="0" algn="ctr" rtl="0"/>
          <a:r>
            <a:rPr lang="lt-LT" baseline="0" smtClean="0">
              <a:latin typeface="Calibri"/>
            </a:rPr>
            <a:t>Vaiko teisių apsaugos skyrius</a:t>
          </a:r>
          <a:endParaRPr lang="lt-LT" smtClean="0"/>
        </a:p>
      </dgm:t>
    </dgm:pt>
    <dgm:pt modelId="{4B642244-D26A-436B-A86B-7BD5561E4272}" type="parTrans" cxnId="{D36C0BE4-31BB-4C8E-939A-07A91A213413}">
      <dgm:prSet/>
      <dgm:spPr/>
      <dgm:t>
        <a:bodyPr/>
        <a:lstStyle/>
        <a:p>
          <a:pPr algn="ctr"/>
          <a:endParaRPr lang="lt-LT"/>
        </a:p>
      </dgm:t>
    </dgm:pt>
    <dgm:pt modelId="{62FA92E7-B5D5-445E-A7D2-E696B984F4D8}" type="sibTrans" cxnId="{D36C0BE4-31BB-4C8E-939A-07A91A213413}">
      <dgm:prSet/>
      <dgm:spPr/>
      <dgm:t>
        <a:bodyPr/>
        <a:lstStyle/>
        <a:p>
          <a:pPr algn="ctr"/>
          <a:endParaRPr lang="lt-LT"/>
        </a:p>
      </dgm:t>
    </dgm:pt>
    <dgm:pt modelId="{993C6A71-3986-41D8-9D82-640A11A77B6F}">
      <dgm:prSet/>
      <dgm:spPr/>
      <dgm:t>
        <a:bodyPr/>
        <a:lstStyle/>
        <a:p>
          <a:pPr marR="0" algn="ctr" rtl="0"/>
          <a:r>
            <a:rPr lang="lt-LT" baseline="0" smtClean="0">
              <a:latin typeface="Calibri"/>
            </a:rPr>
            <a:t>Seniūnijos (seniūnai, socialiniai darbuotojai)</a:t>
          </a:r>
          <a:endParaRPr lang="lt-LT" smtClean="0"/>
        </a:p>
      </dgm:t>
    </dgm:pt>
    <dgm:pt modelId="{3A524BDA-3414-4818-953D-63AA059E1469}" type="parTrans" cxnId="{C4464F79-1F2C-4D98-B701-0E4883E5A483}">
      <dgm:prSet/>
      <dgm:spPr/>
      <dgm:t>
        <a:bodyPr/>
        <a:lstStyle/>
        <a:p>
          <a:pPr algn="ctr"/>
          <a:endParaRPr lang="lt-LT"/>
        </a:p>
      </dgm:t>
    </dgm:pt>
    <dgm:pt modelId="{CFE911CE-64D6-4EB8-96DA-FDF098BD9419}" type="sibTrans" cxnId="{C4464F79-1F2C-4D98-B701-0E4883E5A483}">
      <dgm:prSet/>
      <dgm:spPr/>
      <dgm:t>
        <a:bodyPr/>
        <a:lstStyle/>
        <a:p>
          <a:pPr algn="ctr"/>
          <a:endParaRPr lang="lt-LT"/>
        </a:p>
      </dgm:t>
    </dgm:pt>
    <dgm:pt modelId="{8011BFF6-260B-4812-A95C-D243F4277AAB}">
      <dgm:prSet/>
      <dgm:spPr/>
      <dgm:t>
        <a:bodyPr/>
        <a:lstStyle/>
        <a:p>
          <a:pPr marR="0" algn="ctr" rtl="0"/>
          <a:r>
            <a:rPr lang="lt-LT" baseline="0" smtClean="0">
              <a:latin typeface="Calibri"/>
            </a:rPr>
            <a:t>Rietavo socialinių paslaugų centras</a:t>
          </a:r>
          <a:endParaRPr lang="lt-LT" smtClean="0"/>
        </a:p>
      </dgm:t>
    </dgm:pt>
    <dgm:pt modelId="{B9EF2BC5-1F33-4F8F-9BA8-77D7244A16D4}" type="parTrans" cxnId="{DEDE6707-3632-4F25-831B-4C1D843CF127}">
      <dgm:prSet/>
      <dgm:spPr/>
      <dgm:t>
        <a:bodyPr/>
        <a:lstStyle/>
        <a:p>
          <a:pPr algn="ctr"/>
          <a:endParaRPr lang="lt-LT"/>
        </a:p>
      </dgm:t>
    </dgm:pt>
    <dgm:pt modelId="{8DC63CDB-0715-4CDD-A05A-DB22AE0BC186}" type="sibTrans" cxnId="{DEDE6707-3632-4F25-831B-4C1D843CF127}">
      <dgm:prSet/>
      <dgm:spPr/>
      <dgm:t>
        <a:bodyPr/>
        <a:lstStyle/>
        <a:p>
          <a:pPr algn="ctr"/>
          <a:endParaRPr lang="lt-LT"/>
        </a:p>
      </dgm:t>
    </dgm:pt>
    <dgm:pt modelId="{E5B4D78B-D4A4-4C77-AFD1-A9ACF8072F4D}">
      <dgm:prSet/>
      <dgm:spPr/>
      <dgm:t>
        <a:bodyPr/>
        <a:lstStyle/>
        <a:p>
          <a:pPr marR="0" algn="ctr" rtl="0"/>
          <a:r>
            <a:rPr lang="lt-LT" baseline="0" smtClean="0">
              <a:latin typeface="Calibri"/>
            </a:rPr>
            <a:t>Medicinos įstaigų darbuotojai</a:t>
          </a:r>
          <a:endParaRPr lang="lt-LT" smtClean="0"/>
        </a:p>
      </dgm:t>
    </dgm:pt>
    <dgm:pt modelId="{396C32FD-34FD-4E6A-9D98-12D11198D4FE}" type="parTrans" cxnId="{9910F068-BE76-4EC0-A2AC-C12B1751BA30}">
      <dgm:prSet/>
      <dgm:spPr/>
      <dgm:t>
        <a:bodyPr/>
        <a:lstStyle/>
        <a:p>
          <a:pPr algn="ctr"/>
          <a:endParaRPr lang="lt-LT"/>
        </a:p>
      </dgm:t>
    </dgm:pt>
    <dgm:pt modelId="{DCF0E198-E336-4207-A7E9-C6BEBDA8DEF2}" type="sibTrans" cxnId="{9910F068-BE76-4EC0-A2AC-C12B1751BA30}">
      <dgm:prSet/>
      <dgm:spPr/>
      <dgm:t>
        <a:bodyPr/>
        <a:lstStyle/>
        <a:p>
          <a:pPr algn="ctr"/>
          <a:endParaRPr lang="lt-LT"/>
        </a:p>
      </dgm:t>
    </dgm:pt>
    <dgm:pt modelId="{C762C704-99B8-4E36-8A71-BA66F4C51793}">
      <dgm:prSet/>
      <dgm:spPr/>
      <dgm:t>
        <a:bodyPr/>
        <a:lstStyle/>
        <a:p>
          <a:pPr marR="0" algn="ctr" rtl="0"/>
          <a:r>
            <a:rPr lang="lt-LT" baseline="0" smtClean="0">
              <a:latin typeface="Calibri"/>
            </a:rPr>
            <a:t>Švietimo sistemos darbuotojai</a:t>
          </a:r>
          <a:endParaRPr lang="lt-LT" smtClean="0"/>
        </a:p>
      </dgm:t>
    </dgm:pt>
    <dgm:pt modelId="{C711CB4A-E3D8-45FA-8EB7-D25BFB77E06D}" type="parTrans" cxnId="{CADABF84-191B-48FC-8135-817C17895F7C}">
      <dgm:prSet/>
      <dgm:spPr/>
      <dgm:t>
        <a:bodyPr/>
        <a:lstStyle/>
        <a:p>
          <a:pPr algn="ctr"/>
          <a:endParaRPr lang="lt-LT"/>
        </a:p>
      </dgm:t>
    </dgm:pt>
    <dgm:pt modelId="{44489D21-2E50-40ED-8BB9-09C4E1A9FF15}" type="sibTrans" cxnId="{CADABF84-191B-48FC-8135-817C17895F7C}">
      <dgm:prSet/>
      <dgm:spPr/>
      <dgm:t>
        <a:bodyPr/>
        <a:lstStyle/>
        <a:p>
          <a:pPr algn="ctr"/>
          <a:endParaRPr lang="lt-LT"/>
        </a:p>
      </dgm:t>
    </dgm:pt>
    <dgm:pt modelId="{2DA2A29C-D9FD-4B78-899C-DD81A15067FC}">
      <dgm:prSet custT="1"/>
      <dgm:spPr/>
      <dgm:t>
        <a:bodyPr/>
        <a:lstStyle/>
        <a:p>
          <a:r>
            <a:rPr lang="lt-LT" sz="700"/>
            <a:t>Savivaldybės administracijos darbuotojai</a:t>
          </a:r>
        </a:p>
      </dgm:t>
    </dgm:pt>
    <dgm:pt modelId="{70C184E3-B3B9-44B9-8298-51E17C60DB9B}" type="parTrans" cxnId="{540C7E08-33C1-40C8-8FBD-BC7349FBCB3F}">
      <dgm:prSet/>
      <dgm:spPr/>
      <dgm:t>
        <a:bodyPr/>
        <a:lstStyle/>
        <a:p>
          <a:endParaRPr lang="lt-LT"/>
        </a:p>
      </dgm:t>
    </dgm:pt>
    <dgm:pt modelId="{B52E2F5F-4658-4F90-B86B-9DECF7B20A31}" type="sibTrans" cxnId="{540C7E08-33C1-40C8-8FBD-BC7349FBCB3F}">
      <dgm:prSet/>
      <dgm:spPr/>
      <dgm:t>
        <a:bodyPr/>
        <a:lstStyle/>
        <a:p>
          <a:endParaRPr lang="lt-LT"/>
        </a:p>
      </dgm:t>
    </dgm:pt>
    <dgm:pt modelId="{70B5C9E9-DB68-441A-95A7-949F5F52E214}">
      <dgm:prSet custT="1"/>
      <dgm:spPr/>
      <dgm:t>
        <a:bodyPr/>
        <a:lstStyle/>
        <a:p>
          <a:r>
            <a:rPr lang="lt-LT" sz="600"/>
            <a:t>Klaipėdos  jūrininkų ligoninės psichiatrijos departamentas</a:t>
          </a:r>
        </a:p>
      </dgm:t>
    </dgm:pt>
    <dgm:pt modelId="{DC675206-91B7-4D45-9DD3-1E69064255A2}" type="parTrans" cxnId="{199B92C9-6210-47D9-888A-59C6788DBA90}">
      <dgm:prSet/>
      <dgm:spPr/>
      <dgm:t>
        <a:bodyPr/>
        <a:lstStyle/>
        <a:p>
          <a:endParaRPr lang="lt-LT"/>
        </a:p>
      </dgm:t>
    </dgm:pt>
    <dgm:pt modelId="{03D90AB2-8376-4DC2-A9CF-63602951985E}" type="sibTrans" cxnId="{199B92C9-6210-47D9-888A-59C6788DBA90}">
      <dgm:prSet/>
      <dgm:spPr/>
      <dgm:t>
        <a:bodyPr/>
        <a:lstStyle/>
        <a:p>
          <a:endParaRPr lang="lt-LT"/>
        </a:p>
      </dgm:t>
    </dgm:pt>
    <dgm:pt modelId="{B2144266-F39F-4F32-8E59-B4B94CA9814B}">
      <dgm:prSet custT="1"/>
      <dgm:spPr/>
      <dgm:t>
        <a:bodyPr/>
        <a:lstStyle/>
        <a:p>
          <a:r>
            <a:rPr lang="lt-LT" sz="700"/>
            <a:t>Telšių krizių centras</a:t>
          </a:r>
        </a:p>
      </dgm:t>
    </dgm:pt>
    <dgm:pt modelId="{27743963-8CD3-4790-97B2-C906F77AE1FC}" type="parTrans" cxnId="{CE703CA9-A15E-4CCC-8E48-5EA62751D831}">
      <dgm:prSet/>
      <dgm:spPr/>
      <dgm:t>
        <a:bodyPr/>
        <a:lstStyle/>
        <a:p>
          <a:endParaRPr lang="lt-LT"/>
        </a:p>
      </dgm:t>
    </dgm:pt>
    <dgm:pt modelId="{34B12181-2832-4F79-818A-1AAFC23721C6}" type="sibTrans" cxnId="{CE703CA9-A15E-4CCC-8E48-5EA62751D831}">
      <dgm:prSet/>
      <dgm:spPr/>
      <dgm:t>
        <a:bodyPr/>
        <a:lstStyle/>
        <a:p>
          <a:endParaRPr lang="lt-LT"/>
        </a:p>
      </dgm:t>
    </dgm:pt>
    <dgm:pt modelId="{77A78339-9CCB-406E-8052-5F2BF49F457C}">
      <dgm:prSet custT="1"/>
      <dgm:spPr/>
      <dgm:t>
        <a:bodyPr/>
        <a:lstStyle/>
        <a:p>
          <a:r>
            <a:rPr lang="lt-LT" sz="700"/>
            <a:t>Tverų</a:t>
          </a:r>
          <a:r>
            <a:rPr lang="lt-LT" sz="700" baseline="0"/>
            <a:t> dienos centras</a:t>
          </a:r>
          <a:endParaRPr lang="lt-LT" sz="700"/>
        </a:p>
      </dgm:t>
    </dgm:pt>
    <dgm:pt modelId="{B60166D1-738F-48A2-9AEF-0D7771FCE07E}" type="parTrans" cxnId="{EBBD9CB9-3F72-4166-95C9-4C337C3A3E9F}">
      <dgm:prSet/>
      <dgm:spPr/>
      <dgm:t>
        <a:bodyPr/>
        <a:lstStyle/>
        <a:p>
          <a:endParaRPr lang="lt-LT"/>
        </a:p>
      </dgm:t>
    </dgm:pt>
    <dgm:pt modelId="{20279A90-4272-4B62-BA86-52BFAEB18E7B}" type="sibTrans" cxnId="{EBBD9CB9-3F72-4166-95C9-4C337C3A3E9F}">
      <dgm:prSet/>
      <dgm:spPr/>
      <dgm:t>
        <a:bodyPr/>
        <a:lstStyle/>
        <a:p>
          <a:endParaRPr lang="lt-LT"/>
        </a:p>
      </dgm:t>
    </dgm:pt>
    <dgm:pt modelId="{2F36D7FB-EC28-4F65-B6B4-8857B68B9563}">
      <dgm:prSet custT="1"/>
      <dgm:spPr/>
      <dgm:t>
        <a:bodyPr/>
        <a:lstStyle/>
        <a:p>
          <a:r>
            <a:rPr lang="lt-LT" sz="700"/>
            <a:t>Rietavo policijos komisariatas</a:t>
          </a:r>
        </a:p>
      </dgm:t>
    </dgm:pt>
    <dgm:pt modelId="{2330CDA6-6EB1-43D0-8B2B-1A21E7098AB4}" type="parTrans" cxnId="{05A31590-8182-4F11-90F6-0050F1C83897}">
      <dgm:prSet/>
      <dgm:spPr/>
      <dgm:t>
        <a:bodyPr/>
        <a:lstStyle/>
        <a:p>
          <a:endParaRPr lang="lt-LT"/>
        </a:p>
      </dgm:t>
    </dgm:pt>
    <dgm:pt modelId="{50F4D305-60F2-4C49-833D-661C4EE9205B}" type="sibTrans" cxnId="{05A31590-8182-4F11-90F6-0050F1C83897}">
      <dgm:prSet/>
      <dgm:spPr/>
      <dgm:t>
        <a:bodyPr/>
        <a:lstStyle/>
        <a:p>
          <a:endParaRPr lang="lt-LT"/>
        </a:p>
      </dgm:t>
    </dgm:pt>
    <dgm:pt modelId="{D05481A4-A66A-4E24-9AF2-E4B128A27228}" type="pres">
      <dgm:prSet presAssocID="{7CDE2C33-BE67-4F85-952F-73C3C63B91FB}" presName="Name0" presStyleCnt="0">
        <dgm:presLayoutVars>
          <dgm:chPref val="1"/>
          <dgm:dir val="rev"/>
          <dgm:animOne val="branch"/>
          <dgm:animLvl val="lvl"/>
          <dgm:resizeHandles/>
        </dgm:presLayoutVars>
      </dgm:prSet>
      <dgm:spPr/>
    </dgm:pt>
    <dgm:pt modelId="{235FCE5F-B7DD-4752-858B-E59EA1035950}" type="pres">
      <dgm:prSet presAssocID="{50EDAC64-E5EE-4324-B5FD-4ABE506A7FFB}" presName="vertOne" presStyleCnt="0"/>
      <dgm:spPr/>
    </dgm:pt>
    <dgm:pt modelId="{2DB0D562-04D9-4922-9A71-34EC5790D462}" type="pres">
      <dgm:prSet presAssocID="{50EDAC64-E5EE-4324-B5FD-4ABE506A7FFB}" presName="txOne" presStyleLbl="node0" presStyleIdx="0" presStyleCnt="1" custScaleY="57799" custLinFactNeighborX="-77" custLinFactNeighborY="-147">
        <dgm:presLayoutVars>
          <dgm:chPref val="3"/>
        </dgm:presLayoutVars>
      </dgm:prSet>
      <dgm:spPr/>
      <dgm:t>
        <a:bodyPr/>
        <a:lstStyle/>
        <a:p>
          <a:endParaRPr lang="lt-LT"/>
        </a:p>
      </dgm:t>
    </dgm:pt>
    <dgm:pt modelId="{387293C6-25C0-492F-8F9F-C4763ACFBA4C}" type="pres">
      <dgm:prSet presAssocID="{50EDAC64-E5EE-4324-B5FD-4ABE506A7FFB}" presName="parTransOne" presStyleCnt="0"/>
      <dgm:spPr/>
    </dgm:pt>
    <dgm:pt modelId="{A3C0B248-A2F4-4EB5-9EB9-D2E26C844572}" type="pres">
      <dgm:prSet presAssocID="{50EDAC64-E5EE-4324-B5FD-4ABE506A7FFB}" presName="horzOne" presStyleCnt="0"/>
      <dgm:spPr/>
    </dgm:pt>
    <dgm:pt modelId="{DA19DFA0-8CCB-4386-A0D6-7964EFEE5925}" type="pres">
      <dgm:prSet presAssocID="{73B3D82A-CAD4-412E-85FA-8BB274851059}" presName="vertTwo" presStyleCnt="0"/>
      <dgm:spPr/>
    </dgm:pt>
    <dgm:pt modelId="{594FF299-0081-4F7A-93AE-6DCFC653DC38}" type="pres">
      <dgm:prSet presAssocID="{73B3D82A-CAD4-412E-85FA-8BB274851059}" presName="txTwo" presStyleLbl="node2" presStyleIdx="0" presStyleCnt="7">
        <dgm:presLayoutVars>
          <dgm:chPref val="3"/>
        </dgm:presLayoutVars>
      </dgm:prSet>
      <dgm:spPr/>
      <dgm:t>
        <a:bodyPr/>
        <a:lstStyle/>
        <a:p>
          <a:endParaRPr lang="lt-LT"/>
        </a:p>
      </dgm:t>
    </dgm:pt>
    <dgm:pt modelId="{59401EE7-7556-4EA1-9EBE-74F07DA5414F}" type="pres">
      <dgm:prSet presAssocID="{73B3D82A-CAD4-412E-85FA-8BB274851059}" presName="parTransTwo" presStyleCnt="0"/>
      <dgm:spPr/>
    </dgm:pt>
    <dgm:pt modelId="{17DCC386-2171-4C56-8AB1-278F8019E0AE}" type="pres">
      <dgm:prSet presAssocID="{73B3D82A-CAD4-412E-85FA-8BB274851059}" presName="horzTwo" presStyleCnt="0"/>
      <dgm:spPr/>
    </dgm:pt>
    <dgm:pt modelId="{D3E79E5E-7733-4522-9082-0E4EC106A54E}" type="pres">
      <dgm:prSet presAssocID="{2DA2A29C-D9FD-4B78-899C-DD81A15067FC}" presName="vertThree" presStyleCnt="0"/>
      <dgm:spPr/>
    </dgm:pt>
    <dgm:pt modelId="{364036F5-CDCA-426E-A6B1-E2022AA885A3}" type="pres">
      <dgm:prSet presAssocID="{2DA2A29C-D9FD-4B78-899C-DD81A15067FC}" presName="txThree" presStyleLbl="node3" presStyleIdx="0" presStyleCnt="5" custScaleX="108178" custLinFactY="-24077" custLinFactNeighborX="-1091" custLinFactNeighborY="-100000">
        <dgm:presLayoutVars>
          <dgm:chPref val="3"/>
        </dgm:presLayoutVars>
      </dgm:prSet>
      <dgm:spPr/>
      <dgm:t>
        <a:bodyPr/>
        <a:lstStyle/>
        <a:p>
          <a:endParaRPr lang="lt-LT"/>
        </a:p>
      </dgm:t>
    </dgm:pt>
    <dgm:pt modelId="{CDA1E823-462B-4387-8D3C-EDB5ACB4EE9E}" type="pres">
      <dgm:prSet presAssocID="{2DA2A29C-D9FD-4B78-899C-DD81A15067FC}" presName="horzThree" presStyleCnt="0"/>
      <dgm:spPr/>
    </dgm:pt>
    <dgm:pt modelId="{59149690-3756-4B2D-95FE-DD3B00114424}" type="pres">
      <dgm:prSet presAssocID="{7803A29D-1A69-4980-9296-E119157E05A8}" presName="sibSpaceTwo" presStyleCnt="0"/>
      <dgm:spPr/>
    </dgm:pt>
    <dgm:pt modelId="{30B6AACB-9169-4539-BDF2-F070B183005B}" type="pres">
      <dgm:prSet presAssocID="{FA21C345-B1AA-49AE-97CA-051E9DD5BEB4}" presName="vertTwo" presStyleCnt="0"/>
      <dgm:spPr/>
    </dgm:pt>
    <dgm:pt modelId="{756A9226-B82B-4A20-B85F-231A1E98E6C3}" type="pres">
      <dgm:prSet presAssocID="{FA21C345-B1AA-49AE-97CA-051E9DD5BEB4}" presName="txTwo" presStyleLbl="node2" presStyleIdx="1" presStyleCnt="7" custLinFactNeighborX="-8738" custLinFactNeighborY="-662">
        <dgm:presLayoutVars>
          <dgm:chPref val="3"/>
        </dgm:presLayoutVars>
      </dgm:prSet>
      <dgm:spPr/>
      <dgm:t>
        <a:bodyPr/>
        <a:lstStyle/>
        <a:p>
          <a:endParaRPr lang="lt-LT"/>
        </a:p>
      </dgm:t>
    </dgm:pt>
    <dgm:pt modelId="{AF08EE9D-3B31-45C0-9943-5060CCAABDAD}" type="pres">
      <dgm:prSet presAssocID="{FA21C345-B1AA-49AE-97CA-051E9DD5BEB4}" presName="horzTwo" presStyleCnt="0"/>
      <dgm:spPr/>
    </dgm:pt>
    <dgm:pt modelId="{3F1D074F-3638-4000-B0E1-FCA7B3C980AB}" type="pres">
      <dgm:prSet presAssocID="{07854EB1-1888-4789-B1E2-F5A98006F9CB}" presName="sibSpaceTwo" presStyleCnt="0"/>
      <dgm:spPr/>
    </dgm:pt>
    <dgm:pt modelId="{7E837922-537E-4D4D-9DEB-4EA977FFCF47}" type="pres">
      <dgm:prSet presAssocID="{DF64C5E5-8F1B-4479-A819-DD0701027329}" presName="vertTwo" presStyleCnt="0"/>
      <dgm:spPr/>
    </dgm:pt>
    <dgm:pt modelId="{0150FEFC-871B-4240-804C-3335B71BCA15}" type="pres">
      <dgm:prSet presAssocID="{DF64C5E5-8F1B-4479-A819-DD0701027329}" presName="txTwo" presStyleLbl="node2" presStyleIdx="2" presStyleCnt="7" custLinFactNeighborX="-4993">
        <dgm:presLayoutVars>
          <dgm:chPref val="3"/>
        </dgm:presLayoutVars>
      </dgm:prSet>
      <dgm:spPr/>
      <dgm:t>
        <a:bodyPr/>
        <a:lstStyle/>
        <a:p>
          <a:endParaRPr lang="lt-LT"/>
        </a:p>
      </dgm:t>
    </dgm:pt>
    <dgm:pt modelId="{A01D4925-B665-43E0-9E88-12F61D8AEB65}" type="pres">
      <dgm:prSet presAssocID="{DF64C5E5-8F1B-4479-A819-DD0701027329}" presName="parTransTwo" presStyleCnt="0"/>
      <dgm:spPr/>
    </dgm:pt>
    <dgm:pt modelId="{ACC9D900-5EE7-48C4-A801-5DA202ED9475}" type="pres">
      <dgm:prSet presAssocID="{DF64C5E5-8F1B-4479-A819-DD0701027329}" presName="horzTwo" presStyleCnt="0"/>
      <dgm:spPr/>
    </dgm:pt>
    <dgm:pt modelId="{197430A8-996F-4F3F-930E-75ABF6A25A0F}" type="pres">
      <dgm:prSet presAssocID="{70B5C9E9-DB68-441A-95A7-949F5F52E214}" presName="vertThree" presStyleCnt="0"/>
      <dgm:spPr/>
    </dgm:pt>
    <dgm:pt modelId="{ED9A2BDF-6E3B-46E2-8F37-6BDBB467ED62}" type="pres">
      <dgm:prSet presAssocID="{70B5C9E9-DB68-441A-95A7-949F5F52E214}" presName="txThree" presStyleLbl="node3" presStyleIdx="1" presStyleCnt="5" custScaleY="97898" custLinFactNeighborX="-3207" custLinFactNeighborY="2295">
        <dgm:presLayoutVars>
          <dgm:chPref val="3"/>
        </dgm:presLayoutVars>
      </dgm:prSet>
      <dgm:spPr/>
      <dgm:t>
        <a:bodyPr/>
        <a:lstStyle/>
        <a:p>
          <a:endParaRPr lang="lt-LT"/>
        </a:p>
      </dgm:t>
    </dgm:pt>
    <dgm:pt modelId="{7FDDA82D-CE5F-4016-9F67-BCF5940A0B83}" type="pres">
      <dgm:prSet presAssocID="{70B5C9E9-DB68-441A-95A7-949F5F52E214}" presName="horzThree" presStyleCnt="0"/>
      <dgm:spPr/>
    </dgm:pt>
    <dgm:pt modelId="{7B2A4CCB-9B0A-49BC-A023-76FD1EFA2C87}" type="pres">
      <dgm:prSet presAssocID="{62FA92E7-B5D5-445E-A7D2-E696B984F4D8}" presName="sibSpaceTwo" presStyleCnt="0"/>
      <dgm:spPr/>
    </dgm:pt>
    <dgm:pt modelId="{5B23C86E-8508-4467-8371-24DFDAD4BD14}" type="pres">
      <dgm:prSet presAssocID="{993C6A71-3986-41D8-9D82-640A11A77B6F}" presName="vertTwo" presStyleCnt="0"/>
      <dgm:spPr/>
    </dgm:pt>
    <dgm:pt modelId="{CD2B4029-89EE-4433-A905-551D2FFCCA1D}" type="pres">
      <dgm:prSet presAssocID="{993C6A71-3986-41D8-9D82-640A11A77B6F}" presName="txTwo" presStyleLbl="node2" presStyleIdx="3" presStyleCnt="7" custLinFactNeighborX="-2496" custLinFactNeighborY="663">
        <dgm:presLayoutVars>
          <dgm:chPref val="3"/>
        </dgm:presLayoutVars>
      </dgm:prSet>
      <dgm:spPr/>
      <dgm:t>
        <a:bodyPr/>
        <a:lstStyle/>
        <a:p>
          <a:endParaRPr lang="lt-LT"/>
        </a:p>
      </dgm:t>
    </dgm:pt>
    <dgm:pt modelId="{E35050F5-6021-46EC-AD51-18A13413BFB4}" type="pres">
      <dgm:prSet presAssocID="{993C6A71-3986-41D8-9D82-640A11A77B6F}" presName="parTransTwo" presStyleCnt="0"/>
      <dgm:spPr/>
    </dgm:pt>
    <dgm:pt modelId="{86A80748-8EE2-4D10-9B77-45BB1C278707}" type="pres">
      <dgm:prSet presAssocID="{993C6A71-3986-41D8-9D82-640A11A77B6F}" presName="horzTwo" presStyleCnt="0"/>
      <dgm:spPr/>
    </dgm:pt>
    <dgm:pt modelId="{18F6F335-01A5-4D30-B9AC-C4E095124516}" type="pres">
      <dgm:prSet presAssocID="{B2144266-F39F-4F32-8E59-B4B94CA9814B}" presName="vertThree" presStyleCnt="0"/>
      <dgm:spPr/>
    </dgm:pt>
    <dgm:pt modelId="{73DEEC1A-D831-49CA-82F8-15846A72E401}" type="pres">
      <dgm:prSet presAssocID="{B2144266-F39F-4F32-8E59-B4B94CA9814B}" presName="txThree" presStyleLbl="node3" presStyleIdx="2" presStyleCnt="5" custLinFactNeighborX="-802" custLinFactNeighborY="197">
        <dgm:presLayoutVars>
          <dgm:chPref val="3"/>
        </dgm:presLayoutVars>
      </dgm:prSet>
      <dgm:spPr/>
      <dgm:t>
        <a:bodyPr/>
        <a:lstStyle/>
        <a:p>
          <a:endParaRPr lang="lt-LT"/>
        </a:p>
      </dgm:t>
    </dgm:pt>
    <dgm:pt modelId="{5ED011C5-826A-4F7E-A3E5-6230A01E5B5C}" type="pres">
      <dgm:prSet presAssocID="{B2144266-F39F-4F32-8E59-B4B94CA9814B}" presName="horzThree" presStyleCnt="0"/>
      <dgm:spPr/>
    </dgm:pt>
    <dgm:pt modelId="{9C1A9CDF-5675-438E-90D0-DA4A4D20682D}" type="pres">
      <dgm:prSet presAssocID="{CFE911CE-64D6-4EB8-96DA-FDF098BD9419}" presName="sibSpaceTwo" presStyleCnt="0"/>
      <dgm:spPr/>
    </dgm:pt>
    <dgm:pt modelId="{FB5C9AAA-72A8-4F43-9FE9-F8BEE8D42A9F}" type="pres">
      <dgm:prSet presAssocID="{8011BFF6-260B-4812-A95C-D243F4277AAB}" presName="vertTwo" presStyleCnt="0"/>
      <dgm:spPr/>
    </dgm:pt>
    <dgm:pt modelId="{091C96ED-1658-40E6-B519-25B2DC6C00DE}" type="pres">
      <dgm:prSet presAssocID="{8011BFF6-260B-4812-A95C-D243F4277AAB}" presName="txTwo" presStyleLbl="node2" presStyleIdx="4" presStyleCnt="7" custLinFactNeighborX="1248" custLinFactNeighborY="0">
        <dgm:presLayoutVars>
          <dgm:chPref val="3"/>
        </dgm:presLayoutVars>
      </dgm:prSet>
      <dgm:spPr/>
      <dgm:t>
        <a:bodyPr/>
        <a:lstStyle/>
        <a:p>
          <a:endParaRPr lang="lt-LT"/>
        </a:p>
      </dgm:t>
    </dgm:pt>
    <dgm:pt modelId="{2A37DD9D-15D5-47DA-B76B-3A8A717B73FF}" type="pres">
      <dgm:prSet presAssocID="{8011BFF6-260B-4812-A95C-D243F4277AAB}" presName="parTransTwo" presStyleCnt="0"/>
      <dgm:spPr/>
    </dgm:pt>
    <dgm:pt modelId="{7D6F5E15-B2D1-4091-A4B5-4F800DD1CFC7}" type="pres">
      <dgm:prSet presAssocID="{8011BFF6-260B-4812-A95C-D243F4277AAB}" presName="horzTwo" presStyleCnt="0"/>
      <dgm:spPr/>
    </dgm:pt>
    <dgm:pt modelId="{4104EB1A-D635-468F-AFCC-D141B4D0F134}" type="pres">
      <dgm:prSet presAssocID="{77A78339-9CCB-406E-8052-5F2BF49F457C}" presName="vertThree" presStyleCnt="0"/>
      <dgm:spPr/>
    </dgm:pt>
    <dgm:pt modelId="{0882830F-0BAB-41E6-BB63-07CB100E2DB0}" type="pres">
      <dgm:prSet presAssocID="{77A78339-9CCB-406E-8052-5F2BF49F457C}" presName="txThree" presStyleLbl="node3" presStyleIdx="3" presStyleCnt="5" custLinFactNeighborX="5125" custLinFactNeighborY="197">
        <dgm:presLayoutVars>
          <dgm:chPref val="3"/>
        </dgm:presLayoutVars>
      </dgm:prSet>
      <dgm:spPr/>
      <dgm:t>
        <a:bodyPr/>
        <a:lstStyle/>
        <a:p>
          <a:endParaRPr lang="lt-LT"/>
        </a:p>
      </dgm:t>
    </dgm:pt>
    <dgm:pt modelId="{8E521C93-2B01-4BC0-9057-B4FDBC10A3CF}" type="pres">
      <dgm:prSet presAssocID="{77A78339-9CCB-406E-8052-5F2BF49F457C}" presName="horzThree" presStyleCnt="0"/>
      <dgm:spPr/>
    </dgm:pt>
    <dgm:pt modelId="{3862F89D-2AC0-4401-ADCB-47827A417EE0}" type="pres">
      <dgm:prSet presAssocID="{8DC63CDB-0715-4CDD-A05A-DB22AE0BC186}" presName="sibSpaceTwo" presStyleCnt="0"/>
      <dgm:spPr/>
    </dgm:pt>
    <dgm:pt modelId="{E842B498-2CCA-4772-893C-FE4C8491181C}" type="pres">
      <dgm:prSet presAssocID="{E5B4D78B-D4A4-4C77-AFD1-A9ACF8072F4D}" presName="vertTwo" presStyleCnt="0"/>
      <dgm:spPr/>
    </dgm:pt>
    <dgm:pt modelId="{20E9C135-3A74-4FBB-A0F5-37391E646ED0}" type="pres">
      <dgm:prSet presAssocID="{E5B4D78B-D4A4-4C77-AFD1-A9ACF8072F4D}" presName="txTwo" presStyleLbl="node2" presStyleIdx="5" presStyleCnt="7">
        <dgm:presLayoutVars>
          <dgm:chPref val="3"/>
        </dgm:presLayoutVars>
      </dgm:prSet>
      <dgm:spPr/>
      <dgm:t>
        <a:bodyPr/>
        <a:lstStyle/>
        <a:p>
          <a:endParaRPr lang="lt-LT"/>
        </a:p>
      </dgm:t>
    </dgm:pt>
    <dgm:pt modelId="{AE3E2598-D04E-4F17-85F3-08FE166DC80B}" type="pres">
      <dgm:prSet presAssocID="{E5B4D78B-D4A4-4C77-AFD1-A9ACF8072F4D}" presName="parTransTwo" presStyleCnt="0"/>
      <dgm:spPr/>
    </dgm:pt>
    <dgm:pt modelId="{A3A9FF42-9F7A-4DA3-92C7-42F36B75D553}" type="pres">
      <dgm:prSet presAssocID="{E5B4D78B-D4A4-4C77-AFD1-A9ACF8072F4D}" presName="horzTwo" presStyleCnt="0"/>
      <dgm:spPr/>
    </dgm:pt>
    <dgm:pt modelId="{49D1C06C-2B1D-48D1-8DD5-138D9295FDB1}" type="pres">
      <dgm:prSet presAssocID="{2F36D7FB-EC28-4F65-B6B4-8857B68B9563}" presName="vertThree" presStyleCnt="0"/>
      <dgm:spPr/>
    </dgm:pt>
    <dgm:pt modelId="{4E36F57D-AD2F-4759-A71F-72E859BFA61F}" type="pres">
      <dgm:prSet presAssocID="{2F36D7FB-EC28-4F65-B6B4-8857B68B9563}" presName="txThree" presStyleLbl="node3" presStyleIdx="4" presStyleCnt="5">
        <dgm:presLayoutVars>
          <dgm:chPref val="3"/>
        </dgm:presLayoutVars>
      </dgm:prSet>
      <dgm:spPr/>
      <dgm:t>
        <a:bodyPr/>
        <a:lstStyle/>
        <a:p>
          <a:endParaRPr lang="lt-LT"/>
        </a:p>
      </dgm:t>
    </dgm:pt>
    <dgm:pt modelId="{60BA6ADE-BDEB-49E2-9182-09E388F4DE60}" type="pres">
      <dgm:prSet presAssocID="{2F36D7FB-EC28-4F65-B6B4-8857B68B9563}" presName="horzThree" presStyleCnt="0"/>
      <dgm:spPr/>
    </dgm:pt>
    <dgm:pt modelId="{7079C9D7-D6E3-4211-A9AF-28559F3006ED}" type="pres">
      <dgm:prSet presAssocID="{DCF0E198-E336-4207-A7E9-C6BEBDA8DEF2}" presName="sibSpaceTwo" presStyleCnt="0"/>
      <dgm:spPr/>
    </dgm:pt>
    <dgm:pt modelId="{346BB607-5954-4303-B1E7-508B28C063EE}" type="pres">
      <dgm:prSet presAssocID="{C762C704-99B8-4E36-8A71-BA66F4C51793}" presName="vertTwo" presStyleCnt="0"/>
      <dgm:spPr/>
    </dgm:pt>
    <dgm:pt modelId="{C5BB5CC0-40C4-4CFD-B84B-6B397CA625F2}" type="pres">
      <dgm:prSet presAssocID="{C762C704-99B8-4E36-8A71-BA66F4C51793}" presName="txTwo" presStyleLbl="node2" presStyleIdx="6" presStyleCnt="7">
        <dgm:presLayoutVars>
          <dgm:chPref val="3"/>
        </dgm:presLayoutVars>
      </dgm:prSet>
      <dgm:spPr/>
      <dgm:t>
        <a:bodyPr/>
        <a:lstStyle/>
        <a:p>
          <a:endParaRPr lang="lt-LT"/>
        </a:p>
      </dgm:t>
    </dgm:pt>
    <dgm:pt modelId="{72D04DF0-D2FA-4569-BDFF-B65A503542C7}" type="pres">
      <dgm:prSet presAssocID="{C762C704-99B8-4E36-8A71-BA66F4C51793}" presName="horzTwo" presStyleCnt="0"/>
      <dgm:spPr/>
    </dgm:pt>
  </dgm:ptLst>
  <dgm:cxnLst>
    <dgm:cxn modelId="{8800DE95-89E1-46E6-A215-69CFA4C22D09}" srcId="{7CDE2C33-BE67-4F85-952F-73C3C63B91FB}" destId="{50EDAC64-E5EE-4324-B5FD-4ABE506A7FFB}" srcOrd="0" destOrd="0" parTransId="{E7A9ED51-5809-489F-B6B9-A0462F3B11BB}" sibTransId="{FD36A601-9D51-47D0-B8B9-BFCAD877D56F}"/>
    <dgm:cxn modelId="{69E6796E-115F-4916-B3D0-3000A4FAC41A}" type="presOf" srcId="{E5B4D78B-D4A4-4C77-AFD1-A9ACF8072F4D}" destId="{20E9C135-3A74-4FBB-A0F5-37391E646ED0}" srcOrd="0" destOrd="0" presId="urn:microsoft.com/office/officeart/2005/8/layout/hierarchy4"/>
    <dgm:cxn modelId="{95DEAFCD-A028-44E6-833E-D88FF96B9A00}" type="presOf" srcId="{77A78339-9CCB-406E-8052-5F2BF49F457C}" destId="{0882830F-0BAB-41E6-BB63-07CB100E2DB0}" srcOrd="0" destOrd="0" presId="urn:microsoft.com/office/officeart/2005/8/layout/hierarchy4"/>
    <dgm:cxn modelId="{EBBD9CB9-3F72-4166-95C9-4C337C3A3E9F}" srcId="{8011BFF6-260B-4812-A95C-D243F4277AAB}" destId="{77A78339-9CCB-406E-8052-5F2BF49F457C}" srcOrd="0" destOrd="0" parTransId="{B60166D1-738F-48A2-9AEF-0D7771FCE07E}" sibTransId="{20279A90-4272-4B62-BA86-52BFAEB18E7B}"/>
    <dgm:cxn modelId="{6A1D1C64-FD79-4BF1-B32F-4DA5461F00FA}" type="presOf" srcId="{2DA2A29C-D9FD-4B78-899C-DD81A15067FC}" destId="{364036F5-CDCA-426E-A6B1-E2022AA885A3}" srcOrd="0" destOrd="0" presId="urn:microsoft.com/office/officeart/2005/8/layout/hierarchy4"/>
    <dgm:cxn modelId="{76D9F5DC-BB3D-4ED6-9246-E39BAE3CCFBE}" srcId="{50EDAC64-E5EE-4324-B5FD-4ABE506A7FFB}" destId="{FA21C345-B1AA-49AE-97CA-051E9DD5BEB4}" srcOrd="1" destOrd="0" parTransId="{3539DDE4-64A8-4951-9857-F57DD907DB5C}" sibTransId="{07854EB1-1888-4789-B1E2-F5A98006F9CB}"/>
    <dgm:cxn modelId="{D36C0BE4-31BB-4C8E-939A-07A91A213413}" srcId="{50EDAC64-E5EE-4324-B5FD-4ABE506A7FFB}" destId="{DF64C5E5-8F1B-4479-A819-DD0701027329}" srcOrd="2" destOrd="0" parTransId="{4B642244-D26A-436B-A86B-7BD5561E4272}" sibTransId="{62FA92E7-B5D5-445E-A7D2-E696B984F4D8}"/>
    <dgm:cxn modelId="{DEDE6707-3632-4F25-831B-4C1D843CF127}" srcId="{50EDAC64-E5EE-4324-B5FD-4ABE506A7FFB}" destId="{8011BFF6-260B-4812-A95C-D243F4277AAB}" srcOrd="4" destOrd="0" parTransId="{B9EF2BC5-1F33-4F8F-9BA8-77D7244A16D4}" sibTransId="{8DC63CDB-0715-4CDD-A05A-DB22AE0BC186}"/>
    <dgm:cxn modelId="{3DD034B2-AB00-42D4-8529-48D0A7B22CB7}" type="presOf" srcId="{993C6A71-3986-41D8-9D82-640A11A77B6F}" destId="{CD2B4029-89EE-4433-A905-551D2FFCCA1D}" srcOrd="0" destOrd="0" presId="urn:microsoft.com/office/officeart/2005/8/layout/hierarchy4"/>
    <dgm:cxn modelId="{540C7E08-33C1-40C8-8FBD-BC7349FBCB3F}" srcId="{73B3D82A-CAD4-412E-85FA-8BB274851059}" destId="{2DA2A29C-D9FD-4B78-899C-DD81A15067FC}" srcOrd="0" destOrd="0" parTransId="{70C184E3-B3B9-44B9-8298-51E17C60DB9B}" sibTransId="{B52E2F5F-4658-4F90-B86B-9DECF7B20A31}"/>
    <dgm:cxn modelId="{D5D88176-2A6F-456D-A9EF-26E207679C63}" srcId="{50EDAC64-E5EE-4324-B5FD-4ABE506A7FFB}" destId="{73B3D82A-CAD4-412E-85FA-8BB274851059}" srcOrd="0" destOrd="0" parTransId="{11714356-CE51-48EE-B7BE-F73693212355}" sibTransId="{7803A29D-1A69-4980-9296-E119157E05A8}"/>
    <dgm:cxn modelId="{490D029E-F368-444A-9F85-27711DC01AC1}" type="presOf" srcId="{70B5C9E9-DB68-441A-95A7-949F5F52E214}" destId="{ED9A2BDF-6E3B-46E2-8F37-6BDBB467ED62}" srcOrd="0" destOrd="0" presId="urn:microsoft.com/office/officeart/2005/8/layout/hierarchy4"/>
    <dgm:cxn modelId="{05A31590-8182-4F11-90F6-0050F1C83897}" srcId="{E5B4D78B-D4A4-4C77-AFD1-A9ACF8072F4D}" destId="{2F36D7FB-EC28-4F65-B6B4-8857B68B9563}" srcOrd="0" destOrd="0" parTransId="{2330CDA6-6EB1-43D0-8B2B-1A21E7098AB4}" sibTransId="{50F4D305-60F2-4C49-833D-661C4EE9205B}"/>
    <dgm:cxn modelId="{B7378AF1-9AC8-4FA6-8AE5-C2834E1147D2}" type="presOf" srcId="{FA21C345-B1AA-49AE-97CA-051E9DD5BEB4}" destId="{756A9226-B82B-4A20-B85F-231A1E98E6C3}" srcOrd="0" destOrd="0" presId="urn:microsoft.com/office/officeart/2005/8/layout/hierarchy4"/>
    <dgm:cxn modelId="{CE703CA9-A15E-4CCC-8E48-5EA62751D831}" srcId="{993C6A71-3986-41D8-9D82-640A11A77B6F}" destId="{B2144266-F39F-4F32-8E59-B4B94CA9814B}" srcOrd="0" destOrd="0" parTransId="{27743963-8CD3-4790-97B2-C906F77AE1FC}" sibTransId="{34B12181-2832-4F79-818A-1AAFC23721C6}"/>
    <dgm:cxn modelId="{3C2197AE-F330-41E4-8D38-89CAD0ED9D17}" type="presOf" srcId="{73B3D82A-CAD4-412E-85FA-8BB274851059}" destId="{594FF299-0081-4F7A-93AE-6DCFC653DC38}" srcOrd="0" destOrd="0" presId="urn:microsoft.com/office/officeart/2005/8/layout/hierarchy4"/>
    <dgm:cxn modelId="{CADABF84-191B-48FC-8135-817C17895F7C}" srcId="{50EDAC64-E5EE-4324-B5FD-4ABE506A7FFB}" destId="{C762C704-99B8-4E36-8A71-BA66F4C51793}" srcOrd="6" destOrd="0" parTransId="{C711CB4A-E3D8-45FA-8EB7-D25BFB77E06D}" sibTransId="{44489D21-2E50-40ED-8BB9-09C4E1A9FF15}"/>
    <dgm:cxn modelId="{07D779C7-9F79-4DBB-9C3C-6056332363DD}" type="presOf" srcId="{50EDAC64-E5EE-4324-B5FD-4ABE506A7FFB}" destId="{2DB0D562-04D9-4922-9A71-34EC5790D462}" srcOrd="0" destOrd="0" presId="urn:microsoft.com/office/officeart/2005/8/layout/hierarchy4"/>
    <dgm:cxn modelId="{199B92C9-6210-47D9-888A-59C6788DBA90}" srcId="{DF64C5E5-8F1B-4479-A819-DD0701027329}" destId="{70B5C9E9-DB68-441A-95A7-949F5F52E214}" srcOrd="0" destOrd="0" parTransId="{DC675206-91B7-4D45-9DD3-1E69064255A2}" sibTransId="{03D90AB2-8376-4DC2-A9CF-63602951985E}"/>
    <dgm:cxn modelId="{7294FA5F-85F1-4EB1-804E-53A0D327DBA2}" type="presOf" srcId="{8011BFF6-260B-4812-A95C-D243F4277AAB}" destId="{091C96ED-1658-40E6-B519-25B2DC6C00DE}" srcOrd="0" destOrd="0" presId="urn:microsoft.com/office/officeart/2005/8/layout/hierarchy4"/>
    <dgm:cxn modelId="{EBF1F682-663D-4F82-9C72-24CBE2EB039F}" type="presOf" srcId="{C762C704-99B8-4E36-8A71-BA66F4C51793}" destId="{C5BB5CC0-40C4-4CFD-B84B-6B397CA625F2}" srcOrd="0" destOrd="0" presId="urn:microsoft.com/office/officeart/2005/8/layout/hierarchy4"/>
    <dgm:cxn modelId="{C4464F79-1F2C-4D98-B701-0E4883E5A483}" srcId="{50EDAC64-E5EE-4324-B5FD-4ABE506A7FFB}" destId="{993C6A71-3986-41D8-9D82-640A11A77B6F}" srcOrd="3" destOrd="0" parTransId="{3A524BDA-3414-4818-953D-63AA059E1469}" sibTransId="{CFE911CE-64D6-4EB8-96DA-FDF098BD9419}"/>
    <dgm:cxn modelId="{5F21245E-A228-48F3-A29F-6489263D7901}" type="presOf" srcId="{2F36D7FB-EC28-4F65-B6B4-8857B68B9563}" destId="{4E36F57D-AD2F-4759-A71F-72E859BFA61F}" srcOrd="0" destOrd="0" presId="urn:microsoft.com/office/officeart/2005/8/layout/hierarchy4"/>
    <dgm:cxn modelId="{BA58F0BD-EF40-4AAA-BDB8-D2081596A5E1}" type="presOf" srcId="{DF64C5E5-8F1B-4479-A819-DD0701027329}" destId="{0150FEFC-871B-4240-804C-3335B71BCA15}" srcOrd="0" destOrd="0" presId="urn:microsoft.com/office/officeart/2005/8/layout/hierarchy4"/>
    <dgm:cxn modelId="{5E79B620-9387-4994-8B4B-C3FD5CDB99E3}" type="presOf" srcId="{B2144266-F39F-4F32-8E59-B4B94CA9814B}" destId="{73DEEC1A-D831-49CA-82F8-15846A72E401}" srcOrd="0" destOrd="0" presId="urn:microsoft.com/office/officeart/2005/8/layout/hierarchy4"/>
    <dgm:cxn modelId="{544AB4D0-6462-4055-941A-077F914F9D74}" type="presOf" srcId="{7CDE2C33-BE67-4F85-952F-73C3C63B91FB}" destId="{D05481A4-A66A-4E24-9AF2-E4B128A27228}" srcOrd="0" destOrd="0" presId="urn:microsoft.com/office/officeart/2005/8/layout/hierarchy4"/>
    <dgm:cxn modelId="{9910F068-BE76-4EC0-A2AC-C12B1751BA30}" srcId="{50EDAC64-E5EE-4324-B5FD-4ABE506A7FFB}" destId="{E5B4D78B-D4A4-4C77-AFD1-A9ACF8072F4D}" srcOrd="5" destOrd="0" parTransId="{396C32FD-34FD-4E6A-9D98-12D11198D4FE}" sibTransId="{DCF0E198-E336-4207-A7E9-C6BEBDA8DEF2}"/>
    <dgm:cxn modelId="{0985DFE8-A31E-492E-851F-35B6C9BE111B}" type="presParOf" srcId="{D05481A4-A66A-4E24-9AF2-E4B128A27228}" destId="{235FCE5F-B7DD-4752-858B-E59EA1035950}" srcOrd="0" destOrd="0" presId="urn:microsoft.com/office/officeart/2005/8/layout/hierarchy4"/>
    <dgm:cxn modelId="{4FB510A7-BB66-417F-81A9-3D57E484C272}" type="presParOf" srcId="{235FCE5F-B7DD-4752-858B-E59EA1035950}" destId="{2DB0D562-04D9-4922-9A71-34EC5790D462}" srcOrd="0" destOrd="0" presId="urn:microsoft.com/office/officeart/2005/8/layout/hierarchy4"/>
    <dgm:cxn modelId="{F489ABB0-3146-449B-811F-751F56C738A1}" type="presParOf" srcId="{235FCE5F-B7DD-4752-858B-E59EA1035950}" destId="{387293C6-25C0-492F-8F9F-C4763ACFBA4C}" srcOrd="1" destOrd="0" presId="urn:microsoft.com/office/officeart/2005/8/layout/hierarchy4"/>
    <dgm:cxn modelId="{0C1DEA23-F48E-47F2-9DA6-7D950D68B985}" type="presParOf" srcId="{235FCE5F-B7DD-4752-858B-E59EA1035950}" destId="{A3C0B248-A2F4-4EB5-9EB9-D2E26C844572}" srcOrd="2" destOrd="0" presId="urn:microsoft.com/office/officeart/2005/8/layout/hierarchy4"/>
    <dgm:cxn modelId="{7E53AAF4-2B0F-4583-82DB-C1C6BAEFDB75}" type="presParOf" srcId="{A3C0B248-A2F4-4EB5-9EB9-D2E26C844572}" destId="{DA19DFA0-8CCB-4386-A0D6-7964EFEE5925}" srcOrd="0" destOrd="0" presId="urn:microsoft.com/office/officeart/2005/8/layout/hierarchy4"/>
    <dgm:cxn modelId="{4811BC3F-868E-4341-8291-CBCA65282FEE}" type="presParOf" srcId="{DA19DFA0-8CCB-4386-A0D6-7964EFEE5925}" destId="{594FF299-0081-4F7A-93AE-6DCFC653DC38}" srcOrd="0" destOrd="0" presId="urn:microsoft.com/office/officeart/2005/8/layout/hierarchy4"/>
    <dgm:cxn modelId="{06696B01-CB18-498B-81E6-A598929C4746}" type="presParOf" srcId="{DA19DFA0-8CCB-4386-A0D6-7964EFEE5925}" destId="{59401EE7-7556-4EA1-9EBE-74F07DA5414F}" srcOrd="1" destOrd="0" presId="urn:microsoft.com/office/officeart/2005/8/layout/hierarchy4"/>
    <dgm:cxn modelId="{27E15DBB-7A9B-4A5F-8C8E-556E8C228B64}" type="presParOf" srcId="{DA19DFA0-8CCB-4386-A0D6-7964EFEE5925}" destId="{17DCC386-2171-4C56-8AB1-278F8019E0AE}" srcOrd="2" destOrd="0" presId="urn:microsoft.com/office/officeart/2005/8/layout/hierarchy4"/>
    <dgm:cxn modelId="{54FA0193-C5B1-4AB2-8397-476D36847231}" type="presParOf" srcId="{17DCC386-2171-4C56-8AB1-278F8019E0AE}" destId="{D3E79E5E-7733-4522-9082-0E4EC106A54E}" srcOrd="0" destOrd="0" presId="urn:microsoft.com/office/officeart/2005/8/layout/hierarchy4"/>
    <dgm:cxn modelId="{3E5A7EDF-014E-43E1-B847-3C7E9A3A1907}" type="presParOf" srcId="{D3E79E5E-7733-4522-9082-0E4EC106A54E}" destId="{364036F5-CDCA-426E-A6B1-E2022AA885A3}" srcOrd="0" destOrd="0" presId="urn:microsoft.com/office/officeart/2005/8/layout/hierarchy4"/>
    <dgm:cxn modelId="{87BF6571-9093-4ECA-ABA1-14FFFB7A161F}" type="presParOf" srcId="{D3E79E5E-7733-4522-9082-0E4EC106A54E}" destId="{CDA1E823-462B-4387-8D3C-EDB5ACB4EE9E}" srcOrd="1" destOrd="0" presId="urn:microsoft.com/office/officeart/2005/8/layout/hierarchy4"/>
    <dgm:cxn modelId="{68B7809A-98AA-4B1F-9AE1-C6EA5C25A00E}" type="presParOf" srcId="{A3C0B248-A2F4-4EB5-9EB9-D2E26C844572}" destId="{59149690-3756-4B2D-95FE-DD3B00114424}" srcOrd="1" destOrd="0" presId="urn:microsoft.com/office/officeart/2005/8/layout/hierarchy4"/>
    <dgm:cxn modelId="{4DF8092F-60CC-4888-B2E8-A844A8173496}" type="presParOf" srcId="{A3C0B248-A2F4-4EB5-9EB9-D2E26C844572}" destId="{30B6AACB-9169-4539-BDF2-F070B183005B}" srcOrd="2" destOrd="0" presId="urn:microsoft.com/office/officeart/2005/8/layout/hierarchy4"/>
    <dgm:cxn modelId="{2394DED4-5595-4224-B68F-AF312FA7285B}" type="presParOf" srcId="{30B6AACB-9169-4539-BDF2-F070B183005B}" destId="{756A9226-B82B-4A20-B85F-231A1E98E6C3}" srcOrd="0" destOrd="0" presId="urn:microsoft.com/office/officeart/2005/8/layout/hierarchy4"/>
    <dgm:cxn modelId="{8AD28133-2634-4890-91F5-34224D0E0EDC}" type="presParOf" srcId="{30B6AACB-9169-4539-BDF2-F070B183005B}" destId="{AF08EE9D-3B31-45C0-9943-5060CCAABDAD}" srcOrd="1" destOrd="0" presId="urn:microsoft.com/office/officeart/2005/8/layout/hierarchy4"/>
    <dgm:cxn modelId="{EDB2BF79-3385-4ACD-9491-BC6EB7FC4A37}" type="presParOf" srcId="{A3C0B248-A2F4-4EB5-9EB9-D2E26C844572}" destId="{3F1D074F-3638-4000-B0E1-FCA7B3C980AB}" srcOrd="3" destOrd="0" presId="urn:microsoft.com/office/officeart/2005/8/layout/hierarchy4"/>
    <dgm:cxn modelId="{6F7F703B-9523-4F35-85BB-E0F5386F3D95}" type="presParOf" srcId="{A3C0B248-A2F4-4EB5-9EB9-D2E26C844572}" destId="{7E837922-537E-4D4D-9DEB-4EA977FFCF47}" srcOrd="4" destOrd="0" presId="urn:microsoft.com/office/officeart/2005/8/layout/hierarchy4"/>
    <dgm:cxn modelId="{9B4DBB0C-8831-4E31-9270-0E6524C1E3D6}" type="presParOf" srcId="{7E837922-537E-4D4D-9DEB-4EA977FFCF47}" destId="{0150FEFC-871B-4240-804C-3335B71BCA15}" srcOrd="0" destOrd="0" presId="urn:microsoft.com/office/officeart/2005/8/layout/hierarchy4"/>
    <dgm:cxn modelId="{3107AD22-2A72-43D2-8D3C-41DEE819F10F}" type="presParOf" srcId="{7E837922-537E-4D4D-9DEB-4EA977FFCF47}" destId="{A01D4925-B665-43E0-9E88-12F61D8AEB65}" srcOrd="1" destOrd="0" presId="urn:microsoft.com/office/officeart/2005/8/layout/hierarchy4"/>
    <dgm:cxn modelId="{B93AC8D9-A4BC-4F8F-A281-8F1992A6D512}" type="presParOf" srcId="{7E837922-537E-4D4D-9DEB-4EA977FFCF47}" destId="{ACC9D900-5EE7-48C4-A801-5DA202ED9475}" srcOrd="2" destOrd="0" presId="urn:microsoft.com/office/officeart/2005/8/layout/hierarchy4"/>
    <dgm:cxn modelId="{A282DEAE-5D18-4384-9592-BE16D3C0DF41}" type="presParOf" srcId="{ACC9D900-5EE7-48C4-A801-5DA202ED9475}" destId="{197430A8-996F-4F3F-930E-75ABF6A25A0F}" srcOrd="0" destOrd="0" presId="urn:microsoft.com/office/officeart/2005/8/layout/hierarchy4"/>
    <dgm:cxn modelId="{CBFF0718-C039-4C0E-B4C7-CFE7AA650BDB}" type="presParOf" srcId="{197430A8-996F-4F3F-930E-75ABF6A25A0F}" destId="{ED9A2BDF-6E3B-46E2-8F37-6BDBB467ED62}" srcOrd="0" destOrd="0" presId="urn:microsoft.com/office/officeart/2005/8/layout/hierarchy4"/>
    <dgm:cxn modelId="{29E552CA-75DD-4A10-88BE-C794C2C7E3D8}" type="presParOf" srcId="{197430A8-996F-4F3F-930E-75ABF6A25A0F}" destId="{7FDDA82D-CE5F-4016-9F67-BCF5940A0B83}" srcOrd="1" destOrd="0" presId="urn:microsoft.com/office/officeart/2005/8/layout/hierarchy4"/>
    <dgm:cxn modelId="{F5F9624B-CFCC-4185-9372-BB3287CCD534}" type="presParOf" srcId="{A3C0B248-A2F4-4EB5-9EB9-D2E26C844572}" destId="{7B2A4CCB-9B0A-49BC-A023-76FD1EFA2C87}" srcOrd="5" destOrd="0" presId="urn:microsoft.com/office/officeart/2005/8/layout/hierarchy4"/>
    <dgm:cxn modelId="{4804440E-D294-48E1-B638-8D262E0F8599}" type="presParOf" srcId="{A3C0B248-A2F4-4EB5-9EB9-D2E26C844572}" destId="{5B23C86E-8508-4467-8371-24DFDAD4BD14}" srcOrd="6" destOrd="0" presId="urn:microsoft.com/office/officeart/2005/8/layout/hierarchy4"/>
    <dgm:cxn modelId="{3061B6E8-FF1F-4CD4-9476-09B9C2D22E45}" type="presParOf" srcId="{5B23C86E-8508-4467-8371-24DFDAD4BD14}" destId="{CD2B4029-89EE-4433-A905-551D2FFCCA1D}" srcOrd="0" destOrd="0" presId="urn:microsoft.com/office/officeart/2005/8/layout/hierarchy4"/>
    <dgm:cxn modelId="{CF12B372-32E1-4410-95DF-CDB74B4175D5}" type="presParOf" srcId="{5B23C86E-8508-4467-8371-24DFDAD4BD14}" destId="{E35050F5-6021-46EC-AD51-18A13413BFB4}" srcOrd="1" destOrd="0" presId="urn:microsoft.com/office/officeart/2005/8/layout/hierarchy4"/>
    <dgm:cxn modelId="{C6A3416D-38E6-4061-BA53-6604038CF5F5}" type="presParOf" srcId="{5B23C86E-8508-4467-8371-24DFDAD4BD14}" destId="{86A80748-8EE2-4D10-9B77-45BB1C278707}" srcOrd="2" destOrd="0" presId="urn:microsoft.com/office/officeart/2005/8/layout/hierarchy4"/>
    <dgm:cxn modelId="{C170A7AB-12A8-4F11-B404-722D4385E341}" type="presParOf" srcId="{86A80748-8EE2-4D10-9B77-45BB1C278707}" destId="{18F6F335-01A5-4D30-B9AC-C4E095124516}" srcOrd="0" destOrd="0" presId="urn:microsoft.com/office/officeart/2005/8/layout/hierarchy4"/>
    <dgm:cxn modelId="{8A595B27-1C7E-4262-AF62-706393B7DB6D}" type="presParOf" srcId="{18F6F335-01A5-4D30-B9AC-C4E095124516}" destId="{73DEEC1A-D831-49CA-82F8-15846A72E401}" srcOrd="0" destOrd="0" presId="urn:microsoft.com/office/officeart/2005/8/layout/hierarchy4"/>
    <dgm:cxn modelId="{BF5A0A72-EAA9-42D5-A5A8-18EDBE9E3673}" type="presParOf" srcId="{18F6F335-01A5-4D30-B9AC-C4E095124516}" destId="{5ED011C5-826A-4F7E-A3E5-6230A01E5B5C}" srcOrd="1" destOrd="0" presId="urn:microsoft.com/office/officeart/2005/8/layout/hierarchy4"/>
    <dgm:cxn modelId="{DB9AD9D3-511C-4F20-AF70-95FB85ED661F}" type="presParOf" srcId="{A3C0B248-A2F4-4EB5-9EB9-D2E26C844572}" destId="{9C1A9CDF-5675-438E-90D0-DA4A4D20682D}" srcOrd="7" destOrd="0" presId="urn:microsoft.com/office/officeart/2005/8/layout/hierarchy4"/>
    <dgm:cxn modelId="{8E7BD618-FD65-4FC4-84B7-4F5EC9ADCB4A}" type="presParOf" srcId="{A3C0B248-A2F4-4EB5-9EB9-D2E26C844572}" destId="{FB5C9AAA-72A8-4F43-9FE9-F8BEE8D42A9F}" srcOrd="8" destOrd="0" presId="urn:microsoft.com/office/officeart/2005/8/layout/hierarchy4"/>
    <dgm:cxn modelId="{1C585449-C176-4A5F-A288-AD63B2767C4F}" type="presParOf" srcId="{FB5C9AAA-72A8-4F43-9FE9-F8BEE8D42A9F}" destId="{091C96ED-1658-40E6-B519-25B2DC6C00DE}" srcOrd="0" destOrd="0" presId="urn:microsoft.com/office/officeart/2005/8/layout/hierarchy4"/>
    <dgm:cxn modelId="{10308214-41E9-4F5D-9260-0319C7112D8F}" type="presParOf" srcId="{FB5C9AAA-72A8-4F43-9FE9-F8BEE8D42A9F}" destId="{2A37DD9D-15D5-47DA-B76B-3A8A717B73FF}" srcOrd="1" destOrd="0" presId="urn:microsoft.com/office/officeart/2005/8/layout/hierarchy4"/>
    <dgm:cxn modelId="{AE98E009-C950-44F2-B957-9CF87BD1FE79}" type="presParOf" srcId="{FB5C9AAA-72A8-4F43-9FE9-F8BEE8D42A9F}" destId="{7D6F5E15-B2D1-4091-A4B5-4F800DD1CFC7}" srcOrd="2" destOrd="0" presId="urn:microsoft.com/office/officeart/2005/8/layout/hierarchy4"/>
    <dgm:cxn modelId="{49F9D3BC-6138-446B-8359-A2067B0F8001}" type="presParOf" srcId="{7D6F5E15-B2D1-4091-A4B5-4F800DD1CFC7}" destId="{4104EB1A-D635-468F-AFCC-D141B4D0F134}" srcOrd="0" destOrd="0" presId="urn:microsoft.com/office/officeart/2005/8/layout/hierarchy4"/>
    <dgm:cxn modelId="{142C5801-F6CF-4B00-B53D-45E9B770D030}" type="presParOf" srcId="{4104EB1A-D635-468F-AFCC-D141B4D0F134}" destId="{0882830F-0BAB-41E6-BB63-07CB100E2DB0}" srcOrd="0" destOrd="0" presId="urn:microsoft.com/office/officeart/2005/8/layout/hierarchy4"/>
    <dgm:cxn modelId="{F76EAB5F-7210-4C25-B802-BDC1C4B9C94C}" type="presParOf" srcId="{4104EB1A-D635-468F-AFCC-D141B4D0F134}" destId="{8E521C93-2B01-4BC0-9057-B4FDBC10A3CF}" srcOrd="1" destOrd="0" presId="urn:microsoft.com/office/officeart/2005/8/layout/hierarchy4"/>
    <dgm:cxn modelId="{71C7406D-73D3-419B-B630-FAD38F394511}" type="presParOf" srcId="{A3C0B248-A2F4-4EB5-9EB9-D2E26C844572}" destId="{3862F89D-2AC0-4401-ADCB-47827A417EE0}" srcOrd="9" destOrd="0" presId="urn:microsoft.com/office/officeart/2005/8/layout/hierarchy4"/>
    <dgm:cxn modelId="{F150C082-25CF-418E-B34A-ED0BFCEEE9D0}" type="presParOf" srcId="{A3C0B248-A2F4-4EB5-9EB9-D2E26C844572}" destId="{E842B498-2CCA-4772-893C-FE4C8491181C}" srcOrd="10" destOrd="0" presId="urn:microsoft.com/office/officeart/2005/8/layout/hierarchy4"/>
    <dgm:cxn modelId="{C31D0420-AFB4-422D-951C-3C1885A4A4C1}" type="presParOf" srcId="{E842B498-2CCA-4772-893C-FE4C8491181C}" destId="{20E9C135-3A74-4FBB-A0F5-37391E646ED0}" srcOrd="0" destOrd="0" presId="urn:microsoft.com/office/officeart/2005/8/layout/hierarchy4"/>
    <dgm:cxn modelId="{9D92F525-4549-4C19-8405-7951221A0314}" type="presParOf" srcId="{E842B498-2CCA-4772-893C-FE4C8491181C}" destId="{AE3E2598-D04E-4F17-85F3-08FE166DC80B}" srcOrd="1" destOrd="0" presId="urn:microsoft.com/office/officeart/2005/8/layout/hierarchy4"/>
    <dgm:cxn modelId="{A2F213B4-E1AD-4C38-B3E1-7AE21EA8CF66}" type="presParOf" srcId="{E842B498-2CCA-4772-893C-FE4C8491181C}" destId="{A3A9FF42-9F7A-4DA3-92C7-42F36B75D553}" srcOrd="2" destOrd="0" presId="urn:microsoft.com/office/officeart/2005/8/layout/hierarchy4"/>
    <dgm:cxn modelId="{B04E9E83-21B5-4B6E-AE30-5A1D9CD62EB1}" type="presParOf" srcId="{A3A9FF42-9F7A-4DA3-92C7-42F36B75D553}" destId="{49D1C06C-2B1D-48D1-8DD5-138D9295FDB1}" srcOrd="0" destOrd="0" presId="urn:microsoft.com/office/officeart/2005/8/layout/hierarchy4"/>
    <dgm:cxn modelId="{AF6B0BF0-C310-4196-847C-046CDF6B14C2}" type="presParOf" srcId="{49D1C06C-2B1D-48D1-8DD5-138D9295FDB1}" destId="{4E36F57D-AD2F-4759-A71F-72E859BFA61F}" srcOrd="0" destOrd="0" presId="urn:microsoft.com/office/officeart/2005/8/layout/hierarchy4"/>
    <dgm:cxn modelId="{3748481C-6A40-4ABF-9A7A-0143C7769A2F}" type="presParOf" srcId="{49D1C06C-2B1D-48D1-8DD5-138D9295FDB1}" destId="{60BA6ADE-BDEB-49E2-9182-09E388F4DE60}" srcOrd="1" destOrd="0" presId="urn:microsoft.com/office/officeart/2005/8/layout/hierarchy4"/>
    <dgm:cxn modelId="{531040E0-C8CA-4012-ABC2-9172C6F8DB38}" type="presParOf" srcId="{A3C0B248-A2F4-4EB5-9EB9-D2E26C844572}" destId="{7079C9D7-D6E3-4211-A9AF-28559F3006ED}" srcOrd="11" destOrd="0" presId="urn:microsoft.com/office/officeart/2005/8/layout/hierarchy4"/>
    <dgm:cxn modelId="{096074EF-A3D0-4963-80B9-7FA84F4E52D8}" type="presParOf" srcId="{A3C0B248-A2F4-4EB5-9EB9-D2E26C844572}" destId="{346BB607-5954-4303-B1E7-508B28C063EE}" srcOrd="12" destOrd="0" presId="urn:microsoft.com/office/officeart/2005/8/layout/hierarchy4"/>
    <dgm:cxn modelId="{44491975-9216-4037-A909-D09A3F613C49}" type="presParOf" srcId="{346BB607-5954-4303-B1E7-508B28C063EE}" destId="{C5BB5CC0-40C4-4CFD-B84B-6B397CA625F2}" srcOrd="0" destOrd="0" presId="urn:microsoft.com/office/officeart/2005/8/layout/hierarchy4"/>
    <dgm:cxn modelId="{239F5AD3-71C3-4CA3-80B3-FE580E0A8FDB}" type="presParOf" srcId="{346BB607-5954-4303-B1E7-508B28C063EE}" destId="{72D04DF0-D2FA-4569-BDFF-B65A503542C7}" srcOrd="1" destOrd="0" presId="urn:microsoft.com/office/officeart/2005/8/layout/hierarchy4"/>
  </dgm:cxnLst>
  <dgm:bg/>
  <dgm:whole/>
</dgm:dataModel>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0.12701</cdr:x>
      <cdr:y>0.73184</cdr:y>
    </cdr:from>
    <cdr:to>
      <cdr:x>0.28135</cdr:x>
      <cdr:y>1</cdr:y>
    </cdr:to>
    <cdr:sp macro="" textlink="">
      <cdr:nvSpPr>
        <cdr:cNvPr id="2" name="TextBox 1"/>
        <cdr:cNvSpPr txBox="1"/>
      </cdr:nvSpPr>
      <cdr:spPr>
        <a:xfrm xmlns:a="http://schemas.openxmlformats.org/drawingml/2006/main">
          <a:off x="752475" y="3181350"/>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0.31994</cdr:x>
      <cdr:y>0.77197</cdr:y>
    </cdr:from>
    <cdr:to>
      <cdr:x>0.47428</cdr:x>
      <cdr:y>1</cdr:y>
    </cdr:to>
    <cdr:sp macro="" textlink="">
      <cdr:nvSpPr>
        <cdr:cNvPr id="3" name="TextBox 2"/>
        <cdr:cNvSpPr txBox="1"/>
      </cdr:nvSpPr>
      <cdr:spPr>
        <a:xfrm xmlns:a="http://schemas.openxmlformats.org/drawingml/2006/main">
          <a:off x="1895475" y="3619500"/>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cdr:x>
      <cdr:y>0.97561</cdr:y>
    </cdr:from>
    <cdr:to>
      <cdr:x>0.97749</cdr:x>
      <cdr:y>1</cdr:y>
    </cdr:to>
    <cdr:sp macro="" textlink="">
      <cdr:nvSpPr>
        <cdr:cNvPr id="4" name="TextBox 3"/>
        <cdr:cNvSpPr txBox="1"/>
      </cdr:nvSpPr>
      <cdr:spPr>
        <a:xfrm xmlns:a="http://schemas.openxmlformats.org/drawingml/2006/main">
          <a:off x="0" y="3428999"/>
          <a:ext cx="5958779" cy="8572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lt-LT" sz="1100" baseline="0"/>
            <a:t>                                                                                 </a:t>
          </a:r>
          <a:endParaRPr lang="en-US" sz="1100"/>
        </a:p>
      </cdr:txBody>
    </cdr:sp>
  </cdr:relSizeAnchor>
  <cdr:relSizeAnchor xmlns:cdr="http://schemas.openxmlformats.org/drawingml/2006/chartDrawing">
    <cdr:from>
      <cdr:x>0</cdr:x>
      <cdr:y>0.76965</cdr:y>
    </cdr:from>
    <cdr:to>
      <cdr:x>1</cdr:x>
      <cdr:y>1</cdr:y>
    </cdr:to>
    <cdr:sp macro="" textlink="">
      <cdr:nvSpPr>
        <cdr:cNvPr id="5" name="TextBox 4"/>
        <cdr:cNvSpPr txBox="1"/>
      </cdr:nvSpPr>
      <cdr:spPr>
        <a:xfrm xmlns:a="http://schemas.openxmlformats.org/drawingml/2006/main">
          <a:off x="0" y="2705107"/>
          <a:ext cx="6096000" cy="80961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r>
            <a:rPr lang="lt-LT" sz="1100" b="1">
              <a:latin typeface="Times New Roman" pitchFamily="18" charset="0"/>
              <a:ea typeface="+mn-ea"/>
              <a:cs typeface="Times New Roman" pitchFamily="18" charset="0"/>
            </a:rPr>
            <a:t>Kiti finansavimo šaltiniai:  2 proc.</a:t>
          </a:r>
          <a:r>
            <a:rPr lang="lt-LT" sz="1100" b="1" baseline="0">
              <a:latin typeface="Times New Roman" pitchFamily="18" charset="0"/>
              <a:ea typeface="+mn-ea"/>
              <a:cs typeface="Times New Roman" pitchFamily="18" charset="0"/>
            </a:rPr>
            <a:t> soc. paramos lėšų - 4,44 tūkst. Eur; privatizavimo fondo lėšos -                                                                                                               </a:t>
          </a:r>
          <a:endParaRPr lang="en-US" sz="1100" b="1">
            <a:latin typeface="Times New Roman" pitchFamily="18" charset="0"/>
            <a:ea typeface="+mn-ea"/>
            <a:cs typeface="Times New Roman" pitchFamily="18" charset="0"/>
          </a:endParaRPr>
        </a:p>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r>
            <a:rPr lang="lt-LT" sz="1100" b="1">
              <a:latin typeface="Times New Roman" pitchFamily="18" charset="0"/>
              <a:cs typeface="Times New Roman" pitchFamily="18" charset="0"/>
            </a:rPr>
            <a:t>9,81 tūkst. Eur; privalomojo sveikatos draudimo fondo lėšos - 0,3 tūkst. Eur; darbo</a:t>
          </a:r>
          <a:r>
            <a:rPr lang="lt-LT" sz="1100" b="1" baseline="0">
              <a:latin typeface="Times New Roman" pitchFamily="18" charset="0"/>
              <a:cs typeface="Times New Roman" pitchFamily="18" charset="0"/>
            </a:rPr>
            <a:t> biržos lėšos -  </a:t>
          </a:r>
        </a:p>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r>
            <a:rPr lang="lt-LT" sz="1100" b="1" baseline="0">
              <a:latin typeface="Times New Roman" pitchFamily="18" charset="0"/>
              <a:cs typeface="Times New Roman" pitchFamily="18" charset="0"/>
            </a:rPr>
            <a:t>36,82 tūkst. Eur; rėmėjų lėšos - 42,13 tūkst. Eur</a:t>
          </a:r>
          <a:r>
            <a:rPr lang="lt-LT" sz="1100" b="1" baseline="0"/>
            <a:t> .                                     </a:t>
          </a:r>
          <a:endParaRPr lang="en-US" sz="1100" b="1"/>
        </a:p>
      </cdr:txBody>
    </cdr:sp>
  </cdr:relSizeAnchor>
</c:userShapes>
</file>

<file path=word/drawings/drawing2.xml><?xml version="1.0" encoding="utf-8"?>
<c:userShapes xmlns:c="http://schemas.openxmlformats.org/drawingml/2006/chart">
  <cdr:relSizeAnchor xmlns:cdr="http://schemas.openxmlformats.org/drawingml/2006/chartDrawing">
    <cdr:from>
      <cdr:x>0.8</cdr:x>
      <cdr:y>0.33611</cdr:y>
    </cdr:from>
    <cdr:to>
      <cdr:x>1</cdr:x>
      <cdr:y>0.66944</cdr:y>
    </cdr:to>
    <cdr:sp macro="" textlink="">
      <cdr:nvSpPr>
        <cdr:cNvPr id="2" name="TextBox 1"/>
        <cdr:cNvSpPr txBox="1"/>
      </cdr:nvSpPr>
      <cdr:spPr>
        <a:xfrm xmlns:a="http://schemas.openxmlformats.org/drawingml/2006/main">
          <a:off x="3825240" y="92202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0.71852</cdr:x>
      <cdr:y>0.73267</cdr:y>
    </cdr:from>
    <cdr:to>
      <cdr:x>0.91852</cdr:x>
      <cdr:y>1</cdr:y>
    </cdr:to>
    <cdr:sp macro="" textlink="">
      <cdr:nvSpPr>
        <cdr:cNvPr id="2" name="TextBox 1"/>
        <cdr:cNvSpPr txBox="1"/>
      </cdr:nvSpPr>
      <cdr:spPr>
        <a:xfrm xmlns:a="http://schemas.openxmlformats.org/drawingml/2006/main">
          <a:off x="3285067" y="3285068"/>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sz="1100"/>
        </a:p>
      </cdr:txBody>
    </cdr:sp>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10519C-CD81-42FD-B79B-1BBFEA008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76</Pages>
  <Words>89582</Words>
  <Characters>51062</Characters>
  <Application>Microsoft Office Word</Application>
  <DocSecurity>0</DocSecurity>
  <Lines>425</Lines>
  <Paragraphs>280</Paragraphs>
  <ScaleCrop>false</ScaleCrop>
  <HeadingPairs>
    <vt:vector size="2" baseType="variant">
      <vt:variant>
        <vt:lpstr>Pavadinimas</vt:lpstr>
      </vt:variant>
      <vt:variant>
        <vt:i4>1</vt:i4>
      </vt:variant>
    </vt:vector>
  </HeadingPairs>
  <TitlesOfParts>
    <vt:vector size="1" baseType="lpstr">
      <vt:lpstr>     </vt:lpstr>
    </vt:vector>
  </TitlesOfParts>
  <Company> </Company>
  <LinksUpToDate>false</LinksUpToDate>
  <CharactersWithSpaces>140364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ANTRAS</dc:creator>
  <cp:keywords/>
  <dc:description/>
  <cp:lastModifiedBy>Kancelerija</cp:lastModifiedBy>
  <cp:revision>2</cp:revision>
  <cp:lastPrinted>2016-05-02T06:54:00Z</cp:lastPrinted>
  <dcterms:created xsi:type="dcterms:W3CDTF">2016-05-02T12:40:00Z</dcterms:created>
  <dcterms:modified xsi:type="dcterms:W3CDTF">2016-05-02T12:40:00Z</dcterms:modified>
</cp:coreProperties>
</file>